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EE3C0" w14:textId="6E916084" w:rsidR="00F57754" w:rsidRPr="00BD48BB" w:rsidRDefault="00BD48BB" w:rsidP="00BD48BB">
      <w:pPr>
        <w:shd w:val="clear" w:color="auto" w:fill="FFFFFF"/>
        <w:tabs>
          <w:tab w:val="num" w:pos="720"/>
        </w:tabs>
        <w:spacing w:before="100" w:beforeAutospacing="1" w:after="100" w:afterAutospacing="1"/>
        <w:contextualSpacing/>
        <w:jc w:val="center"/>
        <w:rPr>
          <w:rFonts w:ascii="Times New Roman" w:hAnsi="Times New Roman" w:cs="Times New Roman"/>
          <w:b/>
          <w:sz w:val="28"/>
          <w:szCs w:val="28"/>
          <w:lang w:val="en"/>
        </w:rPr>
      </w:pPr>
      <w:r w:rsidRPr="00BD48BB">
        <w:rPr>
          <w:rFonts w:ascii="Times New Roman" w:hAnsi="Times New Roman" w:cs="Times New Roman"/>
          <w:b/>
          <w:sz w:val="28"/>
          <w:szCs w:val="28"/>
          <w:lang w:val="en"/>
        </w:rPr>
        <w:t>The Diagnosi</w:t>
      </w:r>
      <w:r w:rsidRPr="00BD48BB">
        <w:rPr>
          <w:rFonts w:ascii="Times New Roman" w:hAnsi="Times New Roman" w:cs="Times New Roman"/>
          <w:b/>
          <w:sz w:val="28"/>
          <w:szCs w:val="28"/>
          <w:lang w:val="en"/>
        </w:rPr>
        <w:t>s and Management of the Initial Urinary Tract</w:t>
      </w:r>
      <w:r w:rsidRPr="00BD48BB">
        <w:rPr>
          <w:rFonts w:ascii="Times New Roman" w:hAnsi="Times New Roman" w:cs="Times New Roman"/>
          <w:b/>
          <w:sz w:val="28"/>
          <w:szCs w:val="28"/>
          <w:lang w:val="en"/>
        </w:rPr>
        <w:t xml:space="preserve"> Infection in Febrile Infants and Young Children 2–24 Months of Age</w:t>
      </w:r>
    </w:p>
    <w:p w14:paraId="5A30A11C" w14:textId="587F21D6" w:rsidR="00BD48BB" w:rsidRPr="00BD48BB" w:rsidRDefault="00BD48BB" w:rsidP="00BD48BB">
      <w:pPr>
        <w:shd w:val="clear" w:color="auto" w:fill="FFFFFF"/>
        <w:tabs>
          <w:tab w:val="num" w:pos="720"/>
        </w:tabs>
        <w:spacing w:before="100" w:beforeAutospacing="1" w:after="100" w:afterAutospacing="1"/>
        <w:contextualSpacing/>
        <w:jc w:val="center"/>
        <w:rPr>
          <w:rFonts w:ascii="Times New Roman" w:hAnsi="Times New Roman" w:cs="Times New Roman"/>
          <w:sz w:val="28"/>
          <w:szCs w:val="28"/>
          <w:u w:val="single"/>
        </w:rPr>
      </w:pPr>
      <w:r w:rsidRPr="00BD48BB">
        <w:rPr>
          <w:rFonts w:ascii="Times New Roman" w:hAnsi="Times New Roman" w:cs="Times New Roman"/>
          <w:sz w:val="28"/>
          <w:szCs w:val="28"/>
          <w:lang w:val="en"/>
        </w:rPr>
        <w:t>Summary of the 2011 and 2016 AAP Clinical Practice Guidelines</w:t>
      </w:r>
    </w:p>
    <w:p w14:paraId="34740668" w14:textId="77777777" w:rsidR="00F57754" w:rsidRPr="00BD48BB" w:rsidRDefault="00F57754" w:rsidP="00F57754">
      <w:pPr>
        <w:shd w:val="clear" w:color="auto" w:fill="FFFFFF"/>
        <w:tabs>
          <w:tab w:val="num" w:pos="720"/>
        </w:tabs>
        <w:spacing w:before="100" w:beforeAutospacing="1" w:after="100" w:afterAutospacing="1"/>
        <w:contextualSpacing/>
        <w:rPr>
          <w:rFonts w:ascii="Times New Roman" w:hAnsi="Times New Roman" w:cs="Times New Roman"/>
        </w:rPr>
      </w:pPr>
    </w:p>
    <w:p w14:paraId="62268C76" w14:textId="77777777" w:rsidR="002D0929" w:rsidRPr="008E41E8" w:rsidRDefault="002D0929" w:rsidP="00F57754">
      <w:pPr>
        <w:shd w:val="clear" w:color="auto" w:fill="FFFFFF"/>
        <w:tabs>
          <w:tab w:val="num" w:pos="720"/>
        </w:tabs>
        <w:spacing w:before="100" w:beforeAutospacing="1" w:after="100" w:afterAutospacing="1"/>
        <w:contextualSpacing/>
        <w:rPr>
          <w:rFonts w:ascii="Times New Roman" w:hAnsi="Times New Roman" w:cs="Times New Roman"/>
          <w:b/>
          <w:color w:val="000000" w:themeColor="text1"/>
          <w:u w:val="single"/>
        </w:rPr>
      </w:pPr>
      <w:r w:rsidRPr="008E41E8">
        <w:rPr>
          <w:rFonts w:ascii="Times New Roman" w:hAnsi="Times New Roman" w:cs="Times New Roman"/>
          <w:b/>
          <w:color w:val="000000" w:themeColor="text1"/>
          <w:highlight w:val="cyan"/>
          <w:u w:val="single"/>
        </w:rPr>
        <w:t>DIAGNOSIS:</w:t>
      </w:r>
      <w:r w:rsidRPr="008E41E8">
        <w:rPr>
          <w:rFonts w:ascii="Times New Roman" w:hAnsi="Times New Roman" w:cs="Times New Roman"/>
          <w:b/>
          <w:color w:val="000000" w:themeColor="text1"/>
          <w:u w:val="single"/>
        </w:rPr>
        <w:t xml:space="preserve"> </w:t>
      </w:r>
    </w:p>
    <w:p w14:paraId="7BE76C0C" w14:textId="77777777" w:rsidR="002D0929" w:rsidRPr="00F57754" w:rsidRDefault="002D0929" w:rsidP="00F57754">
      <w:pPr>
        <w:shd w:val="clear" w:color="auto" w:fill="FFFFFF"/>
        <w:tabs>
          <w:tab w:val="num" w:pos="720"/>
        </w:tabs>
        <w:spacing w:before="100" w:beforeAutospacing="1" w:after="100" w:afterAutospacing="1"/>
        <w:contextualSpacing/>
        <w:rPr>
          <w:rFonts w:ascii="Times New Roman" w:hAnsi="Times New Roman" w:cs="Times New Roman"/>
        </w:rPr>
      </w:pPr>
    </w:p>
    <w:p w14:paraId="7828F8C0" w14:textId="77777777" w:rsidR="00F57754" w:rsidRDefault="002D0929" w:rsidP="00C23FE5">
      <w:pPr>
        <w:shd w:val="clear" w:color="auto" w:fill="FFFFFF"/>
        <w:spacing w:before="100" w:beforeAutospacing="1" w:after="100" w:afterAutospacing="1"/>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sidR="00C23FE5">
        <w:rPr>
          <w:rFonts w:ascii="Times New Roman" w:eastAsia="Times New Roman" w:hAnsi="Times New Roman" w:cs="Times New Roman"/>
          <w:color w:val="000000"/>
        </w:rPr>
        <w:t>When evaluating a</w:t>
      </w:r>
      <w:r>
        <w:rPr>
          <w:rFonts w:ascii="Times New Roman" w:eastAsia="Times New Roman" w:hAnsi="Times New Roman" w:cs="Times New Roman"/>
          <w:color w:val="000000"/>
        </w:rPr>
        <w:t xml:space="preserve"> febrile infant between the ages of two months and twenty-four months, </w:t>
      </w:r>
      <w:r w:rsidR="00C23FE5">
        <w:rPr>
          <w:rFonts w:ascii="Times New Roman" w:eastAsia="Times New Roman" w:hAnsi="Times New Roman" w:cs="Times New Roman"/>
          <w:color w:val="000000"/>
        </w:rPr>
        <w:t>always consider the</w:t>
      </w:r>
      <w:r>
        <w:rPr>
          <w:rFonts w:ascii="Times New Roman" w:eastAsia="Times New Roman" w:hAnsi="Times New Roman" w:cs="Times New Roman"/>
          <w:color w:val="000000"/>
        </w:rPr>
        <w:t xml:space="preserve"> risk of UTI. Risk can be calculated by evaluating for various factors. For girls, risk factors include white race, age less than twelve months, temperature greater than or equal to thirty-nine degrees Celsius, fever greater than or equal to two days, and absence of another source of fever</w:t>
      </w:r>
      <w:r w:rsidR="008E41E8">
        <w:rPr>
          <w:rFonts w:ascii="Times New Roman" w:eastAsia="Times New Roman" w:hAnsi="Times New Roman" w:cs="Times New Roman"/>
          <w:color w:val="000000"/>
        </w:rPr>
        <w:t xml:space="preserve"> (see Figure 2)</w:t>
      </w:r>
      <w:r>
        <w:rPr>
          <w:rFonts w:ascii="Times New Roman" w:eastAsia="Times New Roman" w:hAnsi="Times New Roman" w:cs="Times New Roman"/>
          <w:color w:val="000000"/>
        </w:rPr>
        <w:t>. For boys, risk factors include non-black race, temperature above or equal to thirty-nine degrees Celsius, fever longer than twenty-four hours, and absence of another source of infection</w:t>
      </w:r>
      <w:r w:rsidR="008E41E8">
        <w:rPr>
          <w:rFonts w:ascii="Times New Roman" w:eastAsia="Times New Roman" w:hAnsi="Times New Roman" w:cs="Times New Roman"/>
          <w:color w:val="000000"/>
        </w:rPr>
        <w:t xml:space="preserve"> (see Figure 2)</w:t>
      </w:r>
      <w:r>
        <w:rPr>
          <w:rFonts w:ascii="Times New Roman" w:eastAsia="Times New Roman" w:hAnsi="Times New Roman" w:cs="Times New Roman"/>
          <w:color w:val="000000"/>
        </w:rPr>
        <w:t xml:space="preserve">. </w:t>
      </w:r>
      <w:r w:rsidR="00C23FE5">
        <w:rPr>
          <w:rFonts w:ascii="Times New Roman" w:eastAsia="Times New Roman" w:hAnsi="Times New Roman" w:cs="Times New Roman"/>
          <w:noProof/>
          <w:color w:val="000000"/>
        </w:rPr>
        <w:drawing>
          <wp:inline distT="0" distB="0" distL="0" distR="0" wp14:anchorId="4CFDEE61" wp14:editId="44AEEB96">
            <wp:extent cx="4389120" cy="237603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23 at 8.13.24 PM.png"/>
                    <pic:cNvPicPr/>
                  </pic:nvPicPr>
                  <pic:blipFill>
                    <a:blip r:embed="rId7">
                      <a:extLst>
                        <a:ext uri="{28A0092B-C50C-407E-A947-70E740481C1C}">
                          <a14:useLocalDpi xmlns:a14="http://schemas.microsoft.com/office/drawing/2010/main" val="0"/>
                        </a:ext>
                      </a:extLst>
                    </a:blip>
                    <a:stretch>
                      <a:fillRect/>
                    </a:stretch>
                  </pic:blipFill>
                  <pic:spPr>
                    <a:xfrm>
                      <a:off x="0" y="0"/>
                      <a:ext cx="4406329" cy="2385349"/>
                    </a:xfrm>
                    <a:prstGeom prst="rect">
                      <a:avLst/>
                    </a:prstGeom>
                  </pic:spPr>
                </pic:pic>
              </a:graphicData>
            </a:graphic>
          </wp:inline>
        </w:drawing>
      </w:r>
    </w:p>
    <w:p w14:paraId="56DBC945" w14:textId="77777777" w:rsidR="008E41E8" w:rsidRDefault="008E41E8" w:rsidP="00C23FE5">
      <w:pPr>
        <w:shd w:val="clear" w:color="auto" w:fill="FFFFFF"/>
        <w:spacing w:before="100" w:beforeAutospacing="1" w:after="100" w:afterAutospacing="1"/>
        <w:ind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Leukocyte esterase is the most sensitive individual component on urinalysis for UTI (83%) and nitrites are the most specific individual component on urinalysis (98%) (see Table 1).</w:t>
      </w:r>
    </w:p>
    <w:p w14:paraId="48C54F15" w14:textId="77777777" w:rsidR="00F42AD9" w:rsidRDefault="00C23FE5" w:rsidP="00C23FE5">
      <w:pPr>
        <w:shd w:val="clear" w:color="auto" w:fill="FFFFFF"/>
        <w:spacing w:before="100" w:beforeAutospacing="1" w:after="100" w:afterAutospacing="1"/>
        <w:ind w:firstLine="720"/>
        <w:contextualSpacing/>
        <w:rPr>
          <w:rFonts w:ascii="Times New Roman" w:eastAsia="Times New Roman" w:hAnsi="Times New Roman" w:cs="Times New Roman"/>
          <w:color w:val="000000"/>
        </w:rPr>
      </w:pPr>
      <w:r w:rsidRPr="002D0929">
        <w:rPr>
          <w:rFonts w:ascii="Times New Roman" w:eastAsia="Times New Roman" w:hAnsi="Times New Roman" w:cs="Times New Roman"/>
          <w:color w:val="000000"/>
        </w:rPr>
        <w:t xml:space="preserve">If there is a low likelihood of UTI, you can watch the child clinically OR obtain a urinalysis via </w:t>
      </w:r>
      <w:r>
        <w:rPr>
          <w:rFonts w:ascii="Times New Roman" w:eastAsia="Times New Roman" w:hAnsi="Times New Roman" w:cs="Times New Roman"/>
          <w:color w:val="000000"/>
        </w:rPr>
        <w:t xml:space="preserve">a </w:t>
      </w:r>
      <w:r w:rsidRPr="002D0929">
        <w:rPr>
          <w:rFonts w:ascii="Times New Roman" w:eastAsia="Times New Roman" w:hAnsi="Times New Roman" w:cs="Times New Roman"/>
          <w:color w:val="000000"/>
        </w:rPr>
        <w:t xml:space="preserve">convenient method </w:t>
      </w:r>
      <w:r>
        <w:rPr>
          <w:rFonts w:ascii="Times New Roman" w:eastAsia="Times New Roman" w:hAnsi="Times New Roman" w:cs="Times New Roman"/>
          <w:color w:val="000000"/>
        </w:rPr>
        <w:t>such as</w:t>
      </w:r>
      <w:r w:rsidRPr="002D0929">
        <w:rPr>
          <w:rFonts w:ascii="Times New Roman" w:eastAsia="Times New Roman" w:hAnsi="Times New Roman" w:cs="Times New Roman"/>
          <w:color w:val="000000"/>
        </w:rPr>
        <w:t xml:space="preserve"> clean catch</w:t>
      </w:r>
      <w:r>
        <w:rPr>
          <w:rFonts w:ascii="Times New Roman" w:eastAsia="Times New Roman" w:hAnsi="Times New Roman" w:cs="Times New Roman"/>
          <w:color w:val="000000"/>
        </w:rPr>
        <w:t xml:space="preserve">/bag. If the urinalysis is negative, there is no need to obtain a culture. If it is positive, however, culture must be obtained via suprapubic aspiration or catheter to obtain clinically significant results. </w:t>
      </w:r>
    </w:p>
    <w:p w14:paraId="5477AB80" w14:textId="77777777" w:rsidR="00C23FE5" w:rsidRPr="00F42AD9" w:rsidRDefault="00C23FE5" w:rsidP="00C23FE5">
      <w:pPr>
        <w:shd w:val="clear" w:color="auto" w:fill="FFFFFF"/>
        <w:spacing w:before="100" w:beforeAutospacing="1" w:after="100" w:afterAutospacing="1"/>
        <w:ind w:firstLine="720"/>
        <w:contextualSpacing/>
        <w:rPr>
          <w:rFonts w:ascii="Times New Roman" w:eastAsia="Times New Roman" w:hAnsi="Times New Roman" w:cs="Times New Roman"/>
          <w:color w:val="000000"/>
        </w:rPr>
      </w:pPr>
    </w:p>
    <w:p w14:paraId="0DFB234C" w14:textId="77777777" w:rsidR="00F42AD9" w:rsidRPr="00F42AD9" w:rsidRDefault="00F42AD9" w:rsidP="00F42AD9">
      <w:pPr>
        <w:shd w:val="clear" w:color="auto" w:fill="FFFFFF"/>
        <w:spacing w:before="100" w:beforeAutospacing="1" w:after="100" w:afterAutospacing="1"/>
        <w:rPr>
          <w:rFonts w:ascii="Times New Roman" w:eastAsia="Times New Roman" w:hAnsi="Times New Roman" w:cs="Times New Roman"/>
          <w:color w:val="000000"/>
        </w:rPr>
      </w:pPr>
      <w:r>
        <w:rPr>
          <w:noProof/>
        </w:rPr>
        <w:drawing>
          <wp:inline distT="0" distB="0" distL="0" distR="0" wp14:anchorId="0590A5FF" wp14:editId="193CEC93">
            <wp:extent cx="3964962"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23 at 8.18.21 PM.png"/>
                    <pic:cNvPicPr/>
                  </pic:nvPicPr>
                  <pic:blipFill>
                    <a:blip r:embed="rId8">
                      <a:extLst>
                        <a:ext uri="{28A0092B-C50C-407E-A947-70E740481C1C}">
                          <a14:useLocalDpi xmlns:a14="http://schemas.microsoft.com/office/drawing/2010/main" val="0"/>
                        </a:ext>
                      </a:extLst>
                    </a:blip>
                    <a:stretch>
                      <a:fillRect/>
                    </a:stretch>
                  </pic:blipFill>
                  <pic:spPr>
                    <a:xfrm>
                      <a:off x="0" y="0"/>
                      <a:ext cx="3979566" cy="1631588"/>
                    </a:xfrm>
                    <a:prstGeom prst="rect">
                      <a:avLst/>
                    </a:prstGeom>
                  </pic:spPr>
                </pic:pic>
              </a:graphicData>
            </a:graphic>
          </wp:inline>
        </w:drawing>
      </w:r>
    </w:p>
    <w:p w14:paraId="7685CD42" w14:textId="77777777" w:rsidR="00F57754" w:rsidRPr="008E41E8" w:rsidRDefault="008E41E8" w:rsidP="008E41E8">
      <w:pPr>
        <w:shd w:val="clear" w:color="auto" w:fill="FFFFFF"/>
        <w:spacing w:before="100" w:beforeAutospacing="1" w:after="100" w:afterAutospacing="1"/>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the likelihood of UTI is deemed to be high, then obtain a urinalysis </w:t>
      </w:r>
      <w:r w:rsidR="00F57754" w:rsidRPr="008E41E8">
        <w:rPr>
          <w:rFonts w:ascii="Times New Roman" w:eastAsia="Times New Roman" w:hAnsi="Times New Roman" w:cs="Times New Roman"/>
          <w:color w:val="000000"/>
        </w:rPr>
        <w:t xml:space="preserve">and urine culture via suprapubic aspiration or catheter </w:t>
      </w:r>
      <w:r w:rsidR="00075162">
        <w:rPr>
          <w:rFonts w:ascii="Times New Roman" w:eastAsia="Times New Roman" w:hAnsi="Times New Roman" w:cs="Times New Roman"/>
          <w:i/>
          <w:color w:val="000000"/>
        </w:rPr>
        <w:t>before</w:t>
      </w:r>
      <w:r w:rsidR="00F57754" w:rsidRPr="008E41E8">
        <w:rPr>
          <w:rFonts w:ascii="Times New Roman" w:eastAsia="Times New Roman" w:hAnsi="Times New Roman" w:cs="Times New Roman"/>
          <w:color w:val="000000"/>
        </w:rPr>
        <w:t xml:space="preserve"> antibiotic administration</w:t>
      </w:r>
      <w:r>
        <w:rPr>
          <w:rFonts w:ascii="Times New Roman" w:eastAsia="Times New Roman" w:hAnsi="Times New Roman" w:cs="Times New Roman"/>
          <w:color w:val="000000"/>
        </w:rPr>
        <w:t>. Diagnosis of UTI is made via pyuria (white cells on urinalysis</w:t>
      </w:r>
      <w:r w:rsidR="0007516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over fifty-thousand colony-forming units on culture. </w:t>
      </w:r>
    </w:p>
    <w:p w14:paraId="06205517" w14:textId="77777777" w:rsidR="00C23FE5" w:rsidRDefault="008E41E8" w:rsidP="00F57754">
      <w:pPr>
        <w:shd w:val="clear" w:color="auto" w:fill="FFFFFF"/>
        <w:spacing w:before="100" w:beforeAutospacing="1" w:after="100" w:afterAutospacing="1"/>
        <w:rPr>
          <w:rFonts w:ascii="Times New Roman" w:eastAsia="Times New Roman" w:hAnsi="Times New Roman" w:cs="Times New Roman"/>
          <w:b/>
          <w:color w:val="000000"/>
          <w:u w:val="single"/>
        </w:rPr>
      </w:pPr>
      <w:r w:rsidRPr="008E41E8">
        <w:rPr>
          <w:rFonts w:ascii="Times New Roman" w:eastAsia="Times New Roman" w:hAnsi="Times New Roman" w:cs="Times New Roman"/>
          <w:b/>
          <w:color w:val="000000"/>
          <w:highlight w:val="cyan"/>
          <w:u w:val="single"/>
        </w:rPr>
        <w:t>MANA</w:t>
      </w:r>
      <w:r w:rsidR="00C23FE5">
        <w:rPr>
          <w:rFonts w:ascii="Times New Roman" w:eastAsia="Times New Roman" w:hAnsi="Times New Roman" w:cs="Times New Roman"/>
          <w:b/>
          <w:color w:val="000000"/>
          <w:highlight w:val="cyan"/>
          <w:u w:val="single"/>
        </w:rPr>
        <w:t>G</w:t>
      </w:r>
      <w:r w:rsidRPr="008E41E8">
        <w:rPr>
          <w:rFonts w:ascii="Times New Roman" w:eastAsia="Times New Roman" w:hAnsi="Times New Roman" w:cs="Times New Roman"/>
          <w:b/>
          <w:color w:val="000000"/>
          <w:highlight w:val="cyan"/>
          <w:u w:val="single"/>
        </w:rPr>
        <w:t>EMENT:</w:t>
      </w:r>
      <w:r w:rsidRPr="008E41E8">
        <w:rPr>
          <w:rFonts w:ascii="Times New Roman" w:eastAsia="Times New Roman" w:hAnsi="Times New Roman" w:cs="Times New Roman"/>
          <w:b/>
          <w:color w:val="000000"/>
          <w:u w:val="single"/>
        </w:rPr>
        <w:t xml:space="preserve"> </w:t>
      </w:r>
    </w:p>
    <w:p w14:paraId="216D0D6D" w14:textId="77777777" w:rsidR="00982CF3" w:rsidRDefault="008E41E8" w:rsidP="00982CF3">
      <w:pPr>
        <w:shd w:val="clear" w:color="auto" w:fill="FFFFFF"/>
        <w:spacing w:before="100" w:beforeAutospacing="1" w:after="100" w:afterAutospacing="1"/>
        <w:ind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Antibiotics should only be started after a urinalysis and culture are collected. Oral and parenteral routes are equally efficacious. Antibiotics should be selected based on local resistance patterns as they can vary significantly via geography</w:t>
      </w:r>
      <w:r w:rsidR="00982CF3">
        <w:rPr>
          <w:rFonts w:ascii="Times New Roman" w:eastAsia="Times New Roman" w:hAnsi="Times New Roman" w:cs="Times New Roman"/>
          <w:color w:val="000000"/>
        </w:rPr>
        <w:t xml:space="preserve"> (Table 2A)</w:t>
      </w:r>
      <w:r>
        <w:rPr>
          <w:rFonts w:ascii="Times New Roman" w:eastAsia="Times New Roman" w:hAnsi="Times New Roman" w:cs="Times New Roman"/>
          <w:color w:val="000000"/>
        </w:rPr>
        <w:t xml:space="preserve"> and then subsequently adjusted based on culture sensitivities. </w:t>
      </w:r>
    </w:p>
    <w:p w14:paraId="6FA8DFAB" w14:textId="77777777" w:rsidR="00982CF3" w:rsidRDefault="00982CF3" w:rsidP="00982CF3">
      <w:pPr>
        <w:shd w:val="clear" w:color="auto" w:fill="FFFFFF"/>
        <w:spacing w:before="100" w:beforeAutospacing="1" w:after="100" w:afterAutospacing="1"/>
        <w:ind w:firstLine="720"/>
        <w:contextualSpacing/>
        <w:rPr>
          <w:rFonts w:ascii="Times New Roman" w:eastAsia="Times New Roman" w:hAnsi="Times New Roman" w:cs="Times New Roman"/>
          <w:color w:val="000000"/>
        </w:rPr>
      </w:pPr>
    </w:p>
    <w:p w14:paraId="3C99917E" w14:textId="77777777" w:rsidR="00982CF3" w:rsidRDefault="00982CF3" w:rsidP="00982CF3">
      <w:pPr>
        <w:shd w:val="clear" w:color="auto" w:fill="FFFFFF"/>
        <w:spacing w:before="100" w:beforeAutospacing="1" w:after="100" w:afterAutospacing="1"/>
        <w:ind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Table 2A: </w:t>
      </w:r>
    </w:p>
    <w:tbl>
      <w:tblPr>
        <w:tblStyle w:val="TableGrid"/>
        <w:tblW w:w="0" w:type="auto"/>
        <w:tblLook w:val="04A0" w:firstRow="1" w:lastRow="0" w:firstColumn="1" w:lastColumn="0" w:noHBand="0" w:noVBand="1"/>
      </w:tblPr>
      <w:tblGrid>
        <w:gridCol w:w="3865"/>
        <w:gridCol w:w="5485"/>
      </w:tblGrid>
      <w:tr w:rsidR="003F04B9" w14:paraId="6B831DDA" w14:textId="77777777" w:rsidTr="004C7345">
        <w:tc>
          <w:tcPr>
            <w:tcW w:w="3865" w:type="dxa"/>
          </w:tcPr>
          <w:p w14:paraId="6A6F57AD" w14:textId="77777777" w:rsidR="003F04B9" w:rsidRDefault="00982CF3" w:rsidP="00982CF3">
            <w:pPr>
              <w:spacing w:before="100" w:beforeAutospacing="1" w:after="100" w:afterAutospacing="1"/>
              <w:contextualSpacing/>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IV </w:t>
            </w:r>
            <w:r w:rsidR="003F04B9">
              <w:rPr>
                <w:rFonts w:ascii="Times New Roman" w:eastAsia="Times New Roman" w:hAnsi="Times New Roman" w:cs="Times New Roman"/>
                <w:b/>
                <w:color w:val="000000"/>
                <w:u w:val="single"/>
              </w:rPr>
              <w:t>Antibiotic</w:t>
            </w:r>
            <w:r>
              <w:rPr>
                <w:rFonts w:ascii="Times New Roman" w:eastAsia="Times New Roman" w:hAnsi="Times New Roman" w:cs="Times New Roman"/>
                <w:b/>
                <w:color w:val="000000"/>
                <w:u w:val="single"/>
              </w:rPr>
              <w:t>/PO equivalent</w:t>
            </w:r>
          </w:p>
        </w:tc>
        <w:tc>
          <w:tcPr>
            <w:tcW w:w="5485" w:type="dxa"/>
          </w:tcPr>
          <w:p w14:paraId="4C837DEF" w14:textId="77777777" w:rsidR="003F04B9" w:rsidRDefault="003F04B9" w:rsidP="00982CF3">
            <w:pPr>
              <w:spacing w:before="100" w:beforeAutospacing="1" w:after="100" w:afterAutospacing="1"/>
              <w:contextualSpacing/>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St. Christopher’s </w:t>
            </w:r>
            <w:r>
              <w:rPr>
                <w:rFonts w:ascii="Times New Roman" w:eastAsia="Times New Roman" w:hAnsi="Times New Roman" w:cs="Times New Roman"/>
                <w:b/>
                <w:i/>
                <w:color w:val="000000"/>
                <w:u w:val="single"/>
              </w:rPr>
              <w:t xml:space="preserve">E. coli </w:t>
            </w:r>
            <w:r>
              <w:rPr>
                <w:rFonts w:ascii="Times New Roman" w:eastAsia="Times New Roman" w:hAnsi="Times New Roman" w:cs="Times New Roman"/>
                <w:b/>
                <w:color w:val="000000"/>
                <w:u w:val="single"/>
              </w:rPr>
              <w:t>Susceptibility 2018-2019</w:t>
            </w:r>
          </w:p>
        </w:tc>
      </w:tr>
      <w:tr w:rsidR="00982CF3" w14:paraId="44C7C93D" w14:textId="77777777" w:rsidTr="004C7345">
        <w:tc>
          <w:tcPr>
            <w:tcW w:w="3865" w:type="dxa"/>
          </w:tcPr>
          <w:p w14:paraId="201D20D8" w14:textId="77777777" w:rsidR="00982CF3" w:rsidRPr="003F04B9" w:rsidRDefault="00982CF3" w:rsidP="00982CF3">
            <w:pPr>
              <w:spacing w:before="100" w:beforeAutospacing="1" w:after="100" w:afterAutospacing="1"/>
              <w:contextualSpacing/>
              <w:rPr>
                <w:rFonts w:ascii="Times New Roman" w:eastAsia="Times New Roman" w:hAnsi="Times New Roman" w:cs="Times New Roman"/>
                <w:color w:val="000000"/>
              </w:rPr>
            </w:pPr>
            <w:r>
              <w:rPr>
                <w:rFonts w:ascii="Times New Roman" w:eastAsia="Times New Roman" w:hAnsi="Times New Roman" w:cs="Times New Roman"/>
                <w:color w:val="000000"/>
              </w:rPr>
              <w:t>Ceftriaxone/Cef</w:t>
            </w:r>
            <w:r w:rsidR="004C7345">
              <w:rPr>
                <w:rFonts w:ascii="Times New Roman" w:eastAsia="Times New Roman" w:hAnsi="Times New Roman" w:cs="Times New Roman"/>
                <w:color w:val="000000"/>
              </w:rPr>
              <w:t>i</w:t>
            </w:r>
            <w:r>
              <w:rPr>
                <w:rFonts w:ascii="Times New Roman" w:eastAsia="Times New Roman" w:hAnsi="Times New Roman" w:cs="Times New Roman"/>
                <w:color w:val="000000"/>
              </w:rPr>
              <w:t>xime</w:t>
            </w:r>
          </w:p>
        </w:tc>
        <w:tc>
          <w:tcPr>
            <w:tcW w:w="5485" w:type="dxa"/>
          </w:tcPr>
          <w:p w14:paraId="1881C0A2" w14:textId="77777777" w:rsidR="00982CF3" w:rsidRPr="00982CF3" w:rsidRDefault="00982CF3" w:rsidP="00982CF3">
            <w:pPr>
              <w:spacing w:before="100" w:beforeAutospacing="1" w:after="100" w:afterAutospacing="1"/>
              <w:contextualSpacing/>
              <w:rPr>
                <w:rFonts w:ascii="Times New Roman" w:eastAsia="Times New Roman" w:hAnsi="Times New Roman" w:cs="Times New Roman"/>
                <w:color w:val="000000"/>
              </w:rPr>
            </w:pPr>
            <w:r>
              <w:rPr>
                <w:rFonts w:ascii="Times New Roman" w:eastAsia="Times New Roman" w:hAnsi="Times New Roman" w:cs="Times New Roman"/>
                <w:color w:val="000000"/>
              </w:rPr>
              <w:t>94%</w:t>
            </w:r>
          </w:p>
        </w:tc>
      </w:tr>
      <w:tr w:rsidR="003F04B9" w14:paraId="4B33D797" w14:textId="77777777" w:rsidTr="004C7345">
        <w:tc>
          <w:tcPr>
            <w:tcW w:w="3865" w:type="dxa"/>
          </w:tcPr>
          <w:p w14:paraId="3F800074" w14:textId="77777777" w:rsidR="003F04B9" w:rsidRPr="003F04B9" w:rsidRDefault="003F04B9" w:rsidP="00982CF3">
            <w:pPr>
              <w:spacing w:before="100" w:beforeAutospacing="1" w:after="100" w:afterAutospacing="1"/>
              <w:contextualSpacing/>
              <w:rPr>
                <w:rFonts w:ascii="Times New Roman" w:eastAsia="Times New Roman" w:hAnsi="Times New Roman" w:cs="Times New Roman"/>
                <w:color w:val="000000"/>
              </w:rPr>
            </w:pPr>
            <w:r w:rsidRPr="003F04B9">
              <w:rPr>
                <w:rFonts w:ascii="Times New Roman" w:eastAsia="Times New Roman" w:hAnsi="Times New Roman" w:cs="Times New Roman"/>
                <w:color w:val="000000"/>
              </w:rPr>
              <w:t>Ce</w:t>
            </w:r>
            <w:r w:rsidR="00982CF3">
              <w:rPr>
                <w:rFonts w:ascii="Times New Roman" w:eastAsia="Times New Roman" w:hAnsi="Times New Roman" w:cs="Times New Roman"/>
                <w:color w:val="000000"/>
              </w:rPr>
              <w:t>fazolin/Cephalexin</w:t>
            </w:r>
          </w:p>
        </w:tc>
        <w:tc>
          <w:tcPr>
            <w:tcW w:w="5485" w:type="dxa"/>
          </w:tcPr>
          <w:p w14:paraId="2C9E2D12" w14:textId="77777777" w:rsidR="003F04B9" w:rsidRPr="00982CF3" w:rsidRDefault="00982CF3" w:rsidP="00982CF3">
            <w:pPr>
              <w:spacing w:before="100" w:beforeAutospacing="1" w:after="100" w:afterAutospacing="1"/>
              <w:contextualSpacing/>
              <w:rPr>
                <w:rFonts w:ascii="Times New Roman" w:eastAsia="Times New Roman" w:hAnsi="Times New Roman" w:cs="Times New Roman"/>
                <w:color w:val="000000"/>
              </w:rPr>
            </w:pPr>
            <w:r w:rsidRPr="00982CF3">
              <w:rPr>
                <w:rFonts w:ascii="Times New Roman" w:eastAsia="Times New Roman" w:hAnsi="Times New Roman" w:cs="Times New Roman"/>
                <w:color w:val="000000"/>
              </w:rPr>
              <w:t>78%</w:t>
            </w:r>
          </w:p>
        </w:tc>
      </w:tr>
      <w:tr w:rsidR="003F04B9" w14:paraId="157DD930" w14:textId="77777777" w:rsidTr="004C7345">
        <w:tc>
          <w:tcPr>
            <w:tcW w:w="3865" w:type="dxa"/>
          </w:tcPr>
          <w:p w14:paraId="1EE2A3B5" w14:textId="77777777" w:rsidR="003F04B9" w:rsidRPr="003F04B9" w:rsidRDefault="00982CF3" w:rsidP="00982CF3">
            <w:pPr>
              <w:spacing w:before="100" w:beforeAutospacing="1" w:after="100" w:afterAutospacing="1"/>
              <w:contextualSpacing/>
              <w:rPr>
                <w:rFonts w:ascii="Times New Roman" w:eastAsia="Times New Roman" w:hAnsi="Times New Roman" w:cs="Times New Roman"/>
                <w:color w:val="000000"/>
              </w:rPr>
            </w:pPr>
            <w:r>
              <w:rPr>
                <w:rFonts w:ascii="Times New Roman" w:eastAsia="Times New Roman" w:hAnsi="Times New Roman" w:cs="Times New Roman"/>
                <w:color w:val="000000"/>
              </w:rPr>
              <w:t>Ampicillin-</w:t>
            </w:r>
            <w:proofErr w:type="spellStart"/>
            <w:r>
              <w:rPr>
                <w:rFonts w:ascii="Times New Roman" w:eastAsia="Times New Roman" w:hAnsi="Times New Roman" w:cs="Times New Roman"/>
                <w:color w:val="000000"/>
              </w:rPr>
              <w:t>Sulbatam</w:t>
            </w:r>
            <w:proofErr w:type="spellEnd"/>
            <w:r>
              <w:rPr>
                <w:rFonts w:ascii="Times New Roman" w:eastAsia="Times New Roman" w:hAnsi="Times New Roman" w:cs="Times New Roman"/>
                <w:color w:val="000000"/>
              </w:rPr>
              <w:t>/</w:t>
            </w:r>
            <w:r w:rsidR="003F04B9" w:rsidRPr="003F04B9">
              <w:rPr>
                <w:rFonts w:ascii="Times New Roman" w:eastAsia="Times New Roman" w:hAnsi="Times New Roman" w:cs="Times New Roman"/>
                <w:color w:val="000000"/>
              </w:rPr>
              <w:t>Amoxicillin-Clavulanic Acid</w:t>
            </w:r>
          </w:p>
        </w:tc>
        <w:tc>
          <w:tcPr>
            <w:tcW w:w="5485" w:type="dxa"/>
          </w:tcPr>
          <w:p w14:paraId="77AF2726" w14:textId="77777777" w:rsidR="003F04B9" w:rsidRPr="00982CF3" w:rsidRDefault="00982CF3" w:rsidP="00982CF3">
            <w:pPr>
              <w:spacing w:before="100" w:beforeAutospacing="1" w:after="100" w:afterAutospacing="1"/>
              <w:contextualSpacing/>
              <w:rPr>
                <w:rFonts w:ascii="Times New Roman" w:eastAsia="Times New Roman" w:hAnsi="Times New Roman" w:cs="Times New Roman"/>
                <w:color w:val="000000"/>
              </w:rPr>
            </w:pPr>
            <w:r w:rsidRPr="00982CF3">
              <w:rPr>
                <w:rFonts w:ascii="Times New Roman" w:eastAsia="Times New Roman" w:hAnsi="Times New Roman" w:cs="Times New Roman"/>
                <w:color w:val="000000"/>
              </w:rPr>
              <w:t>55%</w:t>
            </w:r>
          </w:p>
        </w:tc>
      </w:tr>
      <w:tr w:rsidR="003F04B9" w14:paraId="2EBE224D" w14:textId="77777777" w:rsidTr="004C7345">
        <w:tc>
          <w:tcPr>
            <w:tcW w:w="3865" w:type="dxa"/>
          </w:tcPr>
          <w:p w14:paraId="1801CDFF" w14:textId="77777777" w:rsidR="003F04B9" w:rsidRPr="003F04B9" w:rsidRDefault="003F04B9" w:rsidP="00982CF3">
            <w:pPr>
              <w:spacing w:before="100" w:beforeAutospacing="1" w:after="100" w:afterAutospacing="1"/>
              <w:contextualSpacing/>
              <w:rPr>
                <w:rFonts w:ascii="Times New Roman" w:eastAsia="Times New Roman" w:hAnsi="Times New Roman" w:cs="Times New Roman"/>
                <w:color w:val="000000"/>
              </w:rPr>
            </w:pPr>
            <w:r w:rsidRPr="003F04B9">
              <w:rPr>
                <w:rFonts w:ascii="Times New Roman" w:eastAsia="Times New Roman" w:hAnsi="Times New Roman" w:cs="Times New Roman"/>
                <w:color w:val="000000"/>
              </w:rPr>
              <w:t>Trimethoprim-Sulfamethoxazole</w:t>
            </w:r>
          </w:p>
        </w:tc>
        <w:tc>
          <w:tcPr>
            <w:tcW w:w="5485" w:type="dxa"/>
          </w:tcPr>
          <w:p w14:paraId="18487506" w14:textId="77777777" w:rsidR="003F04B9" w:rsidRPr="00982CF3" w:rsidRDefault="003F04B9" w:rsidP="00982CF3">
            <w:pPr>
              <w:spacing w:before="100" w:beforeAutospacing="1" w:after="100" w:afterAutospacing="1"/>
              <w:contextualSpacing/>
              <w:rPr>
                <w:rFonts w:ascii="Times New Roman" w:eastAsia="Times New Roman" w:hAnsi="Times New Roman" w:cs="Times New Roman"/>
                <w:color w:val="000000"/>
              </w:rPr>
            </w:pPr>
            <w:r w:rsidRPr="00982CF3">
              <w:rPr>
                <w:rFonts w:ascii="Times New Roman" w:eastAsia="Times New Roman" w:hAnsi="Times New Roman" w:cs="Times New Roman"/>
                <w:color w:val="000000"/>
              </w:rPr>
              <w:t>72%</w:t>
            </w:r>
          </w:p>
        </w:tc>
      </w:tr>
    </w:tbl>
    <w:p w14:paraId="4F36A383" w14:textId="77777777" w:rsidR="00982CF3" w:rsidRDefault="00982CF3" w:rsidP="00982CF3">
      <w:pPr>
        <w:shd w:val="clear" w:color="auto" w:fill="FFFFFF"/>
        <w:spacing w:before="100" w:beforeAutospacing="1" w:after="100" w:afterAutospacing="1"/>
        <w:ind w:firstLine="720"/>
        <w:contextualSpacing/>
        <w:rPr>
          <w:rFonts w:ascii="Times New Roman" w:eastAsia="Times New Roman" w:hAnsi="Times New Roman" w:cs="Times New Roman"/>
          <w:color w:val="000000"/>
        </w:rPr>
      </w:pPr>
    </w:p>
    <w:p w14:paraId="7E2BB3A0" w14:textId="77777777" w:rsidR="00AB404B" w:rsidRPr="00982CF3" w:rsidRDefault="00982CF3" w:rsidP="00982CF3">
      <w:pPr>
        <w:shd w:val="clear" w:color="auto" w:fill="FFFFFF"/>
        <w:spacing w:before="100" w:beforeAutospacing="1" w:after="100" w:afterAutospacing="1"/>
        <w:ind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Common choices include cephalosporins, amoxicillin-clavulanic acid, or trimethoprim-sulfamethoxazole (see Tables 2-3). Antibiotics should be given for a seven- to fourteen-day course. </w:t>
      </w:r>
    </w:p>
    <w:p w14:paraId="6D96F590" w14:textId="77777777" w:rsidR="008E41E8" w:rsidRPr="00F57754" w:rsidRDefault="008E41E8" w:rsidP="00F57754">
      <w:pPr>
        <w:shd w:val="clear" w:color="auto" w:fill="FFFFFF"/>
        <w:spacing w:before="100" w:beforeAutospacing="1" w:after="100" w:afterAutospacing="1"/>
        <w:contextualSpacing/>
        <w:rPr>
          <w:rFonts w:ascii="Times New Roman" w:eastAsia="Times New Roman" w:hAnsi="Times New Roman" w:cs="Times New Roman"/>
          <w:color w:val="000000"/>
        </w:rPr>
      </w:pPr>
      <w:r>
        <w:rPr>
          <w:noProof/>
        </w:rPr>
        <w:drawing>
          <wp:inline distT="0" distB="0" distL="0" distR="0" wp14:anchorId="514C7B13" wp14:editId="7E1A602A">
            <wp:extent cx="1808480" cy="1844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23 at 8.48.28 PM.png"/>
                    <pic:cNvPicPr/>
                  </pic:nvPicPr>
                  <pic:blipFill>
                    <a:blip r:embed="rId9">
                      <a:extLst>
                        <a:ext uri="{28A0092B-C50C-407E-A947-70E740481C1C}">
                          <a14:useLocalDpi xmlns:a14="http://schemas.microsoft.com/office/drawing/2010/main" val="0"/>
                        </a:ext>
                      </a:extLst>
                    </a:blip>
                    <a:stretch>
                      <a:fillRect/>
                    </a:stretch>
                  </pic:blipFill>
                  <pic:spPr>
                    <a:xfrm>
                      <a:off x="0" y="0"/>
                      <a:ext cx="1832869" cy="1869772"/>
                    </a:xfrm>
                    <a:prstGeom prst="rect">
                      <a:avLst/>
                    </a:prstGeom>
                  </pic:spPr>
                </pic:pic>
              </a:graphicData>
            </a:graphic>
          </wp:inline>
        </w:drawing>
      </w:r>
      <w:r>
        <w:rPr>
          <w:noProof/>
        </w:rPr>
        <w:drawing>
          <wp:inline distT="0" distB="0" distL="0" distR="0" wp14:anchorId="54E82A69" wp14:editId="69AFE16C">
            <wp:extent cx="4003388" cy="177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23 at 8.48.46 PM.png"/>
                    <pic:cNvPicPr/>
                  </pic:nvPicPr>
                  <pic:blipFill>
                    <a:blip r:embed="rId10">
                      <a:extLst>
                        <a:ext uri="{28A0092B-C50C-407E-A947-70E740481C1C}">
                          <a14:useLocalDpi xmlns:a14="http://schemas.microsoft.com/office/drawing/2010/main" val="0"/>
                        </a:ext>
                      </a:extLst>
                    </a:blip>
                    <a:stretch>
                      <a:fillRect/>
                    </a:stretch>
                  </pic:blipFill>
                  <pic:spPr>
                    <a:xfrm>
                      <a:off x="0" y="0"/>
                      <a:ext cx="4022709" cy="1786581"/>
                    </a:xfrm>
                    <a:prstGeom prst="rect">
                      <a:avLst/>
                    </a:prstGeom>
                  </pic:spPr>
                </pic:pic>
              </a:graphicData>
            </a:graphic>
          </wp:inline>
        </w:drawing>
      </w:r>
    </w:p>
    <w:p w14:paraId="535779A4" w14:textId="77777777" w:rsidR="00C23FE5" w:rsidRDefault="00C23FE5" w:rsidP="008E41E8">
      <w:pPr>
        <w:shd w:val="clear" w:color="auto" w:fill="FFFFFF"/>
        <w:spacing w:before="100" w:beforeAutospacing="1" w:after="100" w:afterAutospacing="1"/>
        <w:contextualSpacing/>
        <w:rPr>
          <w:rFonts w:ascii="Times New Roman" w:eastAsia="Times New Roman" w:hAnsi="Times New Roman" w:cs="Times New Roman"/>
          <w:color w:val="000000"/>
        </w:rPr>
      </w:pPr>
    </w:p>
    <w:p w14:paraId="5DE26ACF" w14:textId="77777777" w:rsidR="008E41E8" w:rsidRPr="00C23FE5" w:rsidRDefault="00C23FE5" w:rsidP="008E41E8">
      <w:pPr>
        <w:shd w:val="clear" w:color="auto" w:fill="FFFFFF"/>
        <w:spacing w:before="100" w:beforeAutospacing="1" w:after="100" w:afterAutospacing="1"/>
        <w:contextualSpacing/>
        <w:rPr>
          <w:rFonts w:ascii="Times New Roman" w:eastAsia="Times New Roman" w:hAnsi="Times New Roman" w:cs="Times New Roman"/>
          <w:b/>
          <w:color w:val="000000"/>
          <w:u w:val="single"/>
        </w:rPr>
      </w:pPr>
      <w:r w:rsidRPr="00C23FE5">
        <w:rPr>
          <w:rFonts w:ascii="Times New Roman" w:eastAsia="Times New Roman" w:hAnsi="Times New Roman" w:cs="Times New Roman"/>
          <w:b/>
          <w:color w:val="000000"/>
          <w:highlight w:val="cyan"/>
          <w:u w:val="single"/>
        </w:rPr>
        <w:t>FOLLOW-UP/PATIENT EDUCATION:</w:t>
      </w:r>
      <w:r w:rsidRPr="00C23FE5">
        <w:rPr>
          <w:rFonts w:ascii="Times New Roman" w:eastAsia="Times New Roman" w:hAnsi="Times New Roman" w:cs="Times New Roman"/>
          <w:b/>
          <w:color w:val="000000"/>
          <w:u w:val="single"/>
        </w:rPr>
        <w:t xml:space="preserve"> </w:t>
      </w:r>
    </w:p>
    <w:p w14:paraId="5228660F" w14:textId="77777777" w:rsidR="00C23FE5" w:rsidRPr="00C23FE5" w:rsidRDefault="00C23FE5" w:rsidP="008E41E8">
      <w:pPr>
        <w:shd w:val="clear" w:color="auto" w:fill="FFFFFF"/>
        <w:spacing w:before="100" w:beforeAutospacing="1" w:after="100" w:afterAutospacing="1"/>
        <w:contextualSpacing/>
        <w:rPr>
          <w:rFonts w:ascii="Times New Roman" w:eastAsia="Times New Roman" w:hAnsi="Times New Roman" w:cs="Times New Roman"/>
          <w:color w:val="000000"/>
          <w:u w:val="single"/>
        </w:rPr>
      </w:pPr>
    </w:p>
    <w:p w14:paraId="72E025A3" w14:textId="4A342391" w:rsidR="008E41E8" w:rsidRDefault="008E41E8" w:rsidP="008E41E8">
      <w:pPr>
        <w:shd w:val="clear" w:color="auto" w:fill="FFFFFF"/>
        <w:spacing w:before="100" w:beforeAutospacing="1" w:after="100" w:afterAutospacing="1"/>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sidR="00D85401">
        <w:rPr>
          <w:rFonts w:ascii="Times New Roman" w:eastAsia="Times New Roman" w:hAnsi="Times New Roman" w:cs="Times New Roman"/>
          <w:color w:val="000000"/>
        </w:rPr>
        <w:t>Infants with febrile UTI</w:t>
      </w:r>
      <w:r w:rsidR="00025C1B">
        <w:rPr>
          <w:rFonts w:ascii="Times New Roman" w:eastAsia="Times New Roman" w:hAnsi="Times New Roman" w:cs="Times New Roman"/>
          <w:color w:val="000000"/>
        </w:rPr>
        <w:t xml:space="preserve"> should undergo renal and bladder ultrasound</w:t>
      </w:r>
      <w:r w:rsidR="00D85401">
        <w:rPr>
          <w:rFonts w:ascii="Times New Roman" w:eastAsia="Times New Roman" w:hAnsi="Times New Roman" w:cs="Times New Roman"/>
          <w:color w:val="000000"/>
        </w:rPr>
        <w:t xml:space="preserve"> within </w:t>
      </w:r>
      <w:r w:rsidR="006921E4">
        <w:rPr>
          <w:rFonts w:ascii="Times New Roman" w:eastAsia="Times New Roman" w:hAnsi="Times New Roman" w:cs="Times New Roman"/>
          <w:color w:val="000000"/>
        </w:rPr>
        <w:t>forty-eight</w:t>
      </w:r>
      <w:r w:rsidR="00D85401">
        <w:rPr>
          <w:rFonts w:ascii="Times New Roman" w:eastAsia="Times New Roman" w:hAnsi="Times New Roman" w:cs="Times New Roman"/>
          <w:color w:val="000000"/>
        </w:rPr>
        <w:t xml:space="preserve"> hours</w:t>
      </w:r>
      <w:r w:rsidR="00025C1B">
        <w:rPr>
          <w:rFonts w:ascii="Times New Roman" w:eastAsia="Times New Roman" w:hAnsi="Times New Roman" w:cs="Times New Roman"/>
          <w:color w:val="000000"/>
        </w:rPr>
        <w:t xml:space="preserve"> to evaluate for anatomic abnormalities.</w:t>
      </w:r>
      <w:r w:rsidR="00D85401">
        <w:rPr>
          <w:rFonts w:ascii="Times New Roman" w:eastAsia="Times New Roman" w:hAnsi="Times New Roman" w:cs="Times New Roman"/>
          <w:color w:val="000000"/>
        </w:rPr>
        <w:t xml:space="preserve"> It is important to note that in infants who</w:t>
      </w:r>
      <w:r w:rsidR="00025C1B">
        <w:rPr>
          <w:rFonts w:ascii="Times New Roman" w:eastAsia="Times New Roman" w:hAnsi="Times New Roman" w:cs="Times New Roman"/>
          <w:color w:val="000000"/>
        </w:rPr>
        <w:t xml:space="preserve"> </w:t>
      </w:r>
      <w:r w:rsidR="00D85401">
        <w:rPr>
          <w:rFonts w:ascii="Times New Roman" w:eastAsia="Times New Roman" w:hAnsi="Times New Roman" w:cs="Times New Roman"/>
          <w:color w:val="000000"/>
        </w:rPr>
        <w:t xml:space="preserve">demonstrate good clinical improvement, renal and bladder ultrasound can and should be delayed because </w:t>
      </w:r>
      <w:r w:rsidR="007F6503">
        <w:rPr>
          <w:rFonts w:ascii="Times New Roman" w:eastAsia="Times New Roman" w:hAnsi="Times New Roman" w:cs="Times New Roman"/>
          <w:color w:val="000000"/>
        </w:rPr>
        <w:t xml:space="preserve">acute infection can sometimes produce misleading transient dilation. </w:t>
      </w:r>
      <w:r w:rsidR="00025C1B">
        <w:rPr>
          <w:rFonts w:ascii="Times New Roman" w:eastAsia="Times New Roman" w:hAnsi="Times New Roman" w:cs="Times New Roman"/>
          <w:color w:val="000000"/>
        </w:rPr>
        <w:t xml:space="preserve">If the ultrasound uncovers hydronephrosis, scarring, or other findings suggestive of high-grade </w:t>
      </w:r>
      <w:proofErr w:type="spellStart"/>
      <w:r w:rsidR="00025C1B">
        <w:rPr>
          <w:rFonts w:ascii="Times New Roman" w:eastAsia="Times New Roman" w:hAnsi="Times New Roman" w:cs="Times New Roman"/>
          <w:color w:val="000000"/>
        </w:rPr>
        <w:t>vesico</w:t>
      </w:r>
      <w:proofErr w:type="spellEnd"/>
      <w:r w:rsidR="00025C1B">
        <w:rPr>
          <w:rFonts w:ascii="Times New Roman" w:eastAsia="Times New Roman" w:hAnsi="Times New Roman" w:cs="Times New Roman"/>
          <w:color w:val="000000"/>
        </w:rPr>
        <w:t xml:space="preserve">-ureteral reflux (VUR) or obstructive uropathy, obtain a voiding </w:t>
      </w:r>
      <w:proofErr w:type="spellStart"/>
      <w:r w:rsidR="00025C1B">
        <w:rPr>
          <w:rFonts w:ascii="Times New Roman" w:eastAsia="Times New Roman" w:hAnsi="Times New Roman" w:cs="Times New Roman"/>
          <w:color w:val="000000"/>
        </w:rPr>
        <w:t>cystourethrogram</w:t>
      </w:r>
      <w:proofErr w:type="spellEnd"/>
      <w:r w:rsidR="00025C1B">
        <w:rPr>
          <w:rFonts w:ascii="Times New Roman" w:eastAsia="Times New Roman" w:hAnsi="Times New Roman" w:cs="Times New Roman"/>
          <w:color w:val="000000"/>
        </w:rPr>
        <w:t xml:space="preserve"> (VCUG). </w:t>
      </w:r>
    </w:p>
    <w:p w14:paraId="1C10D667" w14:textId="77777777" w:rsidR="00481B6E" w:rsidRPr="00025C1B" w:rsidRDefault="00025C1B" w:rsidP="00025C1B">
      <w:pPr>
        <w:shd w:val="clear" w:color="auto" w:fill="FFFFFF"/>
        <w:spacing w:before="100" w:beforeAutospacing="1" w:after="100" w:afterAutospacing="1"/>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For future febrile illnesses, parents should be encouraged to seek medical care for their child within forty-eight hours to ensure infections can be promptly diagnosed and treated. If a second UTI occurs, consider imaging studies.  </w:t>
      </w:r>
      <w:bookmarkStart w:id="0" w:name="_GoBack"/>
      <w:bookmarkEnd w:id="0"/>
    </w:p>
    <w:sectPr w:rsidR="00481B6E" w:rsidRPr="00025C1B" w:rsidSect="006A7E1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0189" w14:textId="77777777" w:rsidR="00F50774" w:rsidRDefault="00F50774" w:rsidP="00BD48BB">
      <w:r>
        <w:separator/>
      </w:r>
    </w:p>
  </w:endnote>
  <w:endnote w:type="continuationSeparator" w:id="0">
    <w:p w14:paraId="7A95EBB9" w14:textId="77777777" w:rsidR="00F50774" w:rsidRDefault="00F50774" w:rsidP="00B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18D" w14:textId="219166EB" w:rsidR="00BD48BB" w:rsidRDefault="00BD48BB">
    <w:pPr>
      <w:pStyle w:val="Footer"/>
    </w:pPr>
    <w:r>
      <w:t>Created by Sophia Gauthier May 2020</w:t>
    </w:r>
  </w:p>
  <w:p w14:paraId="175361DC" w14:textId="77777777" w:rsidR="00BD48BB" w:rsidRDefault="00BD4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13F20" w14:textId="77777777" w:rsidR="00F50774" w:rsidRDefault="00F50774" w:rsidP="00BD48BB">
      <w:r>
        <w:separator/>
      </w:r>
    </w:p>
  </w:footnote>
  <w:footnote w:type="continuationSeparator" w:id="0">
    <w:p w14:paraId="7E7449DF" w14:textId="77777777" w:rsidR="00F50774" w:rsidRDefault="00F50774" w:rsidP="00BD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7B15"/>
    <w:multiLevelType w:val="hybridMultilevel"/>
    <w:tmpl w:val="534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54758"/>
    <w:multiLevelType w:val="multilevel"/>
    <w:tmpl w:val="667E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A3686"/>
    <w:multiLevelType w:val="hybridMultilevel"/>
    <w:tmpl w:val="FFA04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4A3A80"/>
    <w:multiLevelType w:val="multilevel"/>
    <w:tmpl w:val="E424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C71628"/>
    <w:multiLevelType w:val="hybridMultilevel"/>
    <w:tmpl w:val="42E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E5"/>
    <w:rsid w:val="00025C1B"/>
    <w:rsid w:val="00075162"/>
    <w:rsid w:val="002D0929"/>
    <w:rsid w:val="0035345F"/>
    <w:rsid w:val="003F04B9"/>
    <w:rsid w:val="00481B6E"/>
    <w:rsid w:val="004847BE"/>
    <w:rsid w:val="004922EA"/>
    <w:rsid w:val="004C7345"/>
    <w:rsid w:val="00531F41"/>
    <w:rsid w:val="006870AB"/>
    <w:rsid w:val="006921E4"/>
    <w:rsid w:val="006A7E1B"/>
    <w:rsid w:val="006E4C22"/>
    <w:rsid w:val="007F6503"/>
    <w:rsid w:val="008E41E8"/>
    <w:rsid w:val="00982CF3"/>
    <w:rsid w:val="00AB404B"/>
    <w:rsid w:val="00AF67C0"/>
    <w:rsid w:val="00B24D72"/>
    <w:rsid w:val="00BD48BB"/>
    <w:rsid w:val="00C23FE5"/>
    <w:rsid w:val="00CA5D47"/>
    <w:rsid w:val="00D85401"/>
    <w:rsid w:val="00DA29DB"/>
    <w:rsid w:val="00E37005"/>
    <w:rsid w:val="00EA17F9"/>
    <w:rsid w:val="00F42AD9"/>
    <w:rsid w:val="00F50774"/>
    <w:rsid w:val="00F5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4BF4"/>
  <w14:defaultImageDpi w14:val="32767"/>
  <w15:chartTrackingRefBased/>
  <w15:docId w15:val="{482F3907-B2B5-C141-AE2F-AA394044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754"/>
    <w:pPr>
      <w:ind w:left="720"/>
      <w:contextualSpacing/>
    </w:pPr>
  </w:style>
  <w:style w:type="paragraph" w:styleId="NormalWeb">
    <w:name w:val="Normal (Web)"/>
    <w:basedOn w:val="Normal"/>
    <w:uiPriority w:val="99"/>
    <w:semiHidden/>
    <w:unhideWhenUsed/>
    <w:rsid w:val="00EA17F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F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8BB"/>
    <w:pPr>
      <w:tabs>
        <w:tab w:val="center" w:pos="4680"/>
        <w:tab w:val="right" w:pos="9360"/>
      </w:tabs>
    </w:pPr>
  </w:style>
  <w:style w:type="character" w:customStyle="1" w:styleId="HeaderChar">
    <w:name w:val="Header Char"/>
    <w:basedOn w:val="DefaultParagraphFont"/>
    <w:link w:val="Header"/>
    <w:uiPriority w:val="99"/>
    <w:rsid w:val="00BD48BB"/>
  </w:style>
  <w:style w:type="paragraph" w:styleId="Footer">
    <w:name w:val="footer"/>
    <w:basedOn w:val="Normal"/>
    <w:link w:val="FooterChar"/>
    <w:uiPriority w:val="99"/>
    <w:unhideWhenUsed/>
    <w:rsid w:val="00BD48BB"/>
    <w:pPr>
      <w:tabs>
        <w:tab w:val="center" w:pos="4680"/>
        <w:tab w:val="right" w:pos="9360"/>
      </w:tabs>
    </w:pPr>
  </w:style>
  <w:style w:type="character" w:customStyle="1" w:styleId="FooterChar">
    <w:name w:val="Footer Char"/>
    <w:basedOn w:val="DefaultParagraphFont"/>
    <w:link w:val="Footer"/>
    <w:uiPriority w:val="99"/>
    <w:rsid w:val="00BD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6328">
      <w:bodyDiv w:val="1"/>
      <w:marLeft w:val="0"/>
      <w:marRight w:val="0"/>
      <w:marTop w:val="0"/>
      <w:marBottom w:val="0"/>
      <w:divBdr>
        <w:top w:val="none" w:sz="0" w:space="0" w:color="auto"/>
        <w:left w:val="none" w:sz="0" w:space="0" w:color="auto"/>
        <w:bottom w:val="none" w:sz="0" w:space="0" w:color="auto"/>
        <w:right w:val="none" w:sz="0" w:space="0" w:color="auto"/>
      </w:divBdr>
    </w:div>
    <w:div w:id="1033310764">
      <w:bodyDiv w:val="1"/>
      <w:marLeft w:val="0"/>
      <w:marRight w:val="0"/>
      <w:marTop w:val="0"/>
      <w:marBottom w:val="0"/>
      <w:divBdr>
        <w:top w:val="none" w:sz="0" w:space="0" w:color="auto"/>
        <w:left w:val="none" w:sz="0" w:space="0" w:color="auto"/>
        <w:bottom w:val="none" w:sz="0" w:space="0" w:color="auto"/>
        <w:right w:val="none" w:sz="0" w:space="0" w:color="auto"/>
      </w:divBdr>
      <w:divsChild>
        <w:div w:id="609551175">
          <w:marLeft w:val="0"/>
          <w:marRight w:val="0"/>
          <w:marTop w:val="0"/>
          <w:marBottom w:val="0"/>
          <w:divBdr>
            <w:top w:val="none" w:sz="0" w:space="0" w:color="auto"/>
            <w:left w:val="none" w:sz="0" w:space="0" w:color="auto"/>
            <w:bottom w:val="none" w:sz="0" w:space="0" w:color="auto"/>
            <w:right w:val="none" w:sz="0" w:space="0" w:color="auto"/>
          </w:divBdr>
          <w:divsChild>
            <w:div w:id="1603339632">
              <w:marLeft w:val="0"/>
              <w:marRight w:val="0"/>
              <w:marTop w:val="0"/>
              <w:marBottom w:val="0"/>
              <w:divBdr>
                <w:top w:val="none" w:sz="0" w:space="0" w:color="auto"/>
                <w:left w:val="none" w:sz="0" w:space="0" w:color="auto"/>
                <w:bottom w:val="none" w:sz="0" w:space="0" w:color="auto"/>
                <w:right w:val="none" w:sz="0" w:space="0" w:color="auto"/>
              </w:divBdr>
              <w:divsChild>
                <w:div w:id="16332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7370">
      <w:bodyDiv w:val="1"/>
      <w:marLeft w:val="0"/>
      <w:marRight w:val="0"/>
      <w:marTop w:val="0"/>
      <w:marBottom w:val="0"/>
      <w:divBdr>
        <w:top w:val="none" w:sz="0" w:space="0" w:color="auto"/>
        <w:left w:val="none" w:sz="0" w:space="0" w:color="auto"/>
        <w:bottom w:val="none" w:sz="0" w:space="0" w:color="auto"/>
        <w:right w:val="none" w:sz="0" w:space="0" w:color="auto"/>
      </w:divBdr>
    </w:div>
    <w:div w:id="2030445492">
      <w:bodyDiv w:val="1"/>
      <w:marLeft w:val="0"/>
      <w:marRight w:val="0"/>
      <w:marTop w:val="0"/>
      <w:marBottom w:val="0"/>
      <w:divBdr>
        <w:top w:val="none" w:sz="0" w:space="0" w:color="auto"/>
        <w:left w:val="none" w:sz="0" w:space="0" w:color="auto"/>
        <w:bottom w:val="none" w:sz="0" w:space="0" w:color="auto"/>
        <w:right w:val="none" w:sz="0" w:space="0" w:color="auto"/>
      </w:divBdr>
      <w:divsChild>
        <w:div w:id="1906604751">
          <w:marLeft w:val="0"/>
          <w:marRight w:val="0"/>
          <w:marTop w:val="0"/>
          <w:marBottom w:val="0"/>
          <w:divBdr>
            <w:top w:val="none" w:sz="0" w:space="0" w:color="auto"/>
            <w:left w:val="none" w:sz="0" w:space="0" w:color="auto"/>
            <w:bottom w:val="none" w:sz="0" w:space="0" w:color="auto"/>
            <w:right w:val="none" w:sz="0" w:space="0" w:color="auto"/>
          </w:divBdr>
          <w:divsChild>
            <w:div w:id="82993385">
              <w:marLeft w:val="0"/>
              <w:marRight w:val="0"/>
              <w:marTop w:val="0"/>
              <w:marBottom w:val="0"/>
              <w:divBdr>
                <w:top w:val="none" w:sz="0" w:space="0" w:color="auto"/>
                <w:left w:val="none" w:sz="0" w:space="0" w:color="auto"/>
                <w:bottom w:val="none" w:sz="0" w:space="0" w:color="auto"/>
                <w:right w:val="none" w:sz="0" w:space="0" w:color="auto"/>
              </w:divBdr>
              <w:divsChild>
                <w:div w:id="16643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Gauthier</dc:creator>
  <cp:keywords/>
  <dc:description/>
  <cp:lastModifiedBy>Dominic, Courtney</cp:lastModifiedBy>
  <cp:revision>2</cp:revision>
  <dcterms:created xsi:type="dcterms:W3CDTF">2020-05-26T12:58:00Z</dcterms:created>
  <dcterms:modified xsi:type="dcterms:W3CDTF">2020-05-26T12:58:00Z</dcterms:modified>
</cp:coreProperties>
</file>