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9F1" w:rsidRPr="009443BD" w:rsidRDefault="00944091">
      <w:pPr>
        <w:rPr>
          <w:b/>
          <w:sz w:val="32"/>
          <w:szCs w:val="24"/>
          <w:u w:val="single"/>
        </w:rPr>
      </w:pPr>
      <w:r w:rsidRPr="009443BD">
        <w:rPr>
          <w:b/>
          <w:sz w:val="32"/>
          <w:szCs w:val="24"/>
          <w:u w:val="single"/>
        </w:rPr>
        <w:t xml:space="preserve">Swab Squad – </w:t>
      </w:r>
      <w:proofErr w:type="gramStart"/>
      <w:r w:rsidRPr="009443BD">
        <w:rPr>
          <w:b/>
          <w:sz w:val="32"/>
          <w:szCs w:val="24"/>
          <w:u w:val="single"/>
        </w:rPr>
        <w:t>Fall</w:t>
      </w:r>
      <w:proofErr w:type="gramEnd"/>
      <w:r w:rsidRPr="009443BD">
        <w:rPr>
          <w:b/>
          <w:sz w:val="32"/>
          <w:szCs w:val="24"/>
          <w:u w:val="single"/>
        </w:rPr>
        <w:t xml:space="preserve"> 2021</w:t>
      </w:r>
      <w:r w:rsidR="009443BD" w:rsidRPr="009443BD">
        <w:rPr>
          <w:b/>
          <w:sz w:val="32"/>
          <w:szCs w:val="24"/>
          <w:u w:val="single"/>
        </w:rPr>
        <w:t>: Why???</w:t>
      </w:r>
      <w:bookmarkStart w:id="0" w:name="_GoBack"/>
      <w:bookmarkEnd w:id="0"/>
    </w:p>
    <w:p w:rsidR="00944091" w:rsidRPr="009443BD" w:rsidRDefault="00944091">
      <w:pPr>
        <w:rPr>
          <w:b/>
          <w:sz w:val="24"/>
          <w:szCs w:val="24"/>
        </w:rPr>
      </w:pPr>
      <w:r w:rsidRPr="009443BD">
        <w:rPr>
          <w:b/>
          <w:sz w:val="24"/>
          <w:szCs w:val="24"/>
        </w:rPr>
        <w:t>Who am I seeing?</w:t>
      </w:r>
    </w:p>
    <w:p w:rsidR="00944091" w:rsidRPr="009443BD" w:rsidRDefault="00944091">
      <w:pPr>
        <w:rPr>
          <w:sz w:val="24"/>
          <w:szCs w:val="24"/>
        </w:rPr>
      </w:pPr>
      <w:r w:rsidRPr="009443BD">
        <w:rPr>
          <w:sz w:val="24"/>
          <w:szCs w:val="24"/>
        </w:rPr>
        <w:t>Anyone who comes in asking just for COVID testing. Make sure they are aware their child is NOT being evaluated by a physician/NP. They are just getting COVID testing. If the child is sick and would like to see a physician/NP, they should be directed to register.</w:t>
      </w:r>
    </w:p>
    <w:p w:rsidR="00944091" w:rsidRPr="009443BD" w:rsidRDefault="00944091">
      <w:pPr>
        <w:rPr>
          <w:b/>
          <w:sz w:val="24"/>
          <w:szCs w:val="24"/>
        </w:rPr>
      </w:pPr>
      <w:r w:rsidRPr="009443BD">
        <w:rPr>
          <w:b/>
          <w:sz w:val="24"/>
          <w:szCs w:val="24"/>
        </w:rPr>
        <w:t>How can families get results?</w:t>
      </w:r>
    </w:p>
    <w:p w:rsidR="00944091" w:rsidRPr="009443BD" w:rsidRDefault="00944091" w:rsidP="00694EB7">
      <w:pPr>
        <w:pStyle w:val="ListParagraph"/>
        <w:numPr>
          <w:ilvl w:val="0"/>
          <w:numId w:val="2"/>
        </w:numPr>
        <w:rPr>
          <w:sz w:val="24"/>
          <w:szCs w:val="24"/>
        </w:rPr>
      </w:pPr>
      <w:r w:rsidRPr="009443BD">
        <w:rPr>
          <w:sz w:val="24"/>
          <w:szCs w:val="24"/>
        </w:rPr>
        <w:t>Please give them the handout for signing up for the portal. Please set expectation that this is how they will get results. Please note, the portal signup for children is still not available in Spanish, so although the actual portal can be translated to Spanish, not the forms to sign up your child. For this reason, we are not giving the Portal Signup instructions in Spanish (yet).</w:t>
      </w:r>
    </w:p>
    <w:p w:rsidR="00944091" w:rsidRPr="009443BD" w:rsidRDefault="00944091" w:rsidP="00694EB7">
      <w:pPr>
        <w:pStyle w:val="ListParagraph"/>
        <w:numPr>
          <w:ilvl w:val="0"/>
          <w:numId w:val="2"/>
        </w:numPr>
        <w:rPr>
          <w:sz w:val="24"/>
          <w:szCs w:val="24"/>
        </w:rPr>
      </w:pPr>
      <w:r w:rsidRPr="009443BD">
        <w:rPr>
          <w:sz w:val="24"/>
          <w:szCs w:val="24"/>
        </w:rPr>
        <w:t>Get a good phone number in case they aren’t signed up for the portal when you want to give results.</w:t>
      </w:r>
    </w:p>
    <w:p w:rsidR="00694EB7" w:rsidRPr="009443BD" w:rsidRDefault="00694EB7" w:rsidP="00694EB7">
      <w:pPr>
        <w:pStyle w:val="ListParagraph"/>
        <w:numPr>
          <w:ilvl w:val="0"/>
          <w:numId w:val="2"/>
        </w:numPr>
        <w:rPr>
          <w:sz w:val="24"/>
          <w:szCs w:val="24"/>
        </w:rPr>
      </w:pPr>
      <w:r w:rsidRPr="009443BD">
        <w:rPr>
          <w:sz w:val="24"/>
          <w:szCs w:val="24"/>
        </w:rPr>
        <w:t>Consider getting the fax number for the school if the family will need a letter (ask someone if you don’t know how to fax letters in EPIC or if you don’t know how to create a letter from your inbox that has the result built into it)</w:t>
      </w:r>
    </w:p>
    <w:p w:rsidR="00944091" w:rsidRPr="009443BD" w:rsidRDefault="00944091" w:rsidP="00694EB7">
      <w:pPr>
        <w:pStyle w:val="ListParagraph"/>
        <w:numPr>
          <w:ilvl w:val="0"/>
          <w:numId w:val="2"/>
        </w:numPr>
        <w:rPr>
          <w:sz w:val="24"/>
          <w:szCs w:val="24"/>
        </w:rPr>
      </w:pPr>
      <w:r w:rsidRPr="009443BD">
        <w:rPr>
          <w:sz w:val="24"/>
          <w:szCs w:val="24"/>
        </w:rPr>
        <w:t>Please remind them to call the clinic in 24 hours if they aren’t able to access results and haven’t heard from us.</w:t>
      </w:r>
    </w:p>
    <w:p w:rsidR="00944091" w:rsidRPr="009443BD" w:rsidRDefault="00944091">
      <w:pPr>
        <w:rPr>
          <w:b/>
          <w:sz w:val="24"/>
          <w:szCs w:val="24"/>
        </w:rPr>
      </w:pPr>
      <w:r w:rsidRPr="009443BD">
        <w:rPr>
          <w:b/>
          <w:sz w:val="24"/>
          <w:szCs w:val="24"/>
        </w:rPr>
        <w:t>What forms and counseling should I give families?</w:t>
      </w:r>
    </w:p>
    <w:p w:rsidR="00944091" w:rsidRPr="009443BD" w:rsidRDefault="00944091" w:rsidP="00944091">
      <w:pPr>
        <w:pStyle w:val="ListParagraph"/>
        <w:numPr>
          <w:ilvl w:val="0"/>
          <w:numId w:val="1"/>
        </w:numPr>
        <w:rPr>
          <w:sz w:val="24"/>
          <w:szCs w:val="24"/>
        </w:rPr>
      </w:pPr>
      <w:r w:rsidRPr="009443BD">
        <w:rPr>
          <w:sz w:val="24"/>
          <w:szCs w:val="24"/>
        </w:rPr>
        <w:t xml:space="preserve">COVID Testing Handout (English and Spanish; on </w:t>
      </w:r>
      <w:proofErr w:type="spellStart"/>
      <w:r w:rsidRPr="009443BD">
        <w:rPr>
          <w:sz w:val="24"/>
          <w:szCs w:val="24"/>
        </w:rPr>
        <w:t>GenPeds</w:t>
      </w:r>
      <w:proofErr w:type="spellEnd"/>
      <w:r w:rsidRPr="009443BD">
        <w:rPr>
          <w:sz w:val="24"/>
          <w:szCs w:val="24"/>
        </w:rPr>
        <w:t>) – please write dates of isolation/quarantine for contingency of both a positive or negative result OR if negative but exposed and needs to quarantine</w:t>
      </w:r>
    </w:p>
    <w:p w:rsidR="00944091" w:rsidRPr="009443BD" w:rsidRDefault="00944091" w:rsidP="00944091">
      <w:pPr>
        <w:pStyle w:val="ListParagraph"/>
        <w:numPr>
          <w:ilvl w:val="0"/>
          <w:numId w:val="1"/>
        </w:numPr>
        <w:rPr>
          <w:sz w:val="24"/>
          <w:szCs w:val="24"/>
        </w:rPr>
      </w:pPr>
      <w:r w:rsidRPr="009443BD">
        <w:rPr>
          <w:sz w:val="24"/>
          <w:szCs w:val="24"/>
        </w:rPr>
        <w:t xml:space="preserve">Use the sheet to do counseling about isolation/ quarantine so you don’t need to do it when you call to give results. </w:t>
      </w:r>
    </w:p>
    <w:p w:rsidR="00694EB7" w:rsidRPr="009443BD" w:rsidRDefault="00694EB7" w:rsidP="00944091">
      <w:pPr>
        <w:pStyle w:val="ListParagraph"/>
        <w:numPr>
          <w:ilvl w:val="0"/>
          <w:numId w:val="1"/>
        </w:numPr>
        <w:rPr>
          <w:sz w:val="24"/>
          <w:szCs w:val="24"/>
        </w:rPr>
      </w:pPr>
      <w:r w:rsidRPr="009443BD">
        <w:rPr>
          <w:sz w:val="24"/>
          <w:szCs w:val="24"/>
        </w:rPr>
        <w:t>Give handout about signing up for Portal</w:t>
      </w:r>
    </w:p>
    <w:p w:rsidR="00944091" w:rsidRPr="009443BD" w:rsidRDefault="00694EB7" w:rsidP="00694EB7">
      <w:pPr>
        <w:pStyle w:val="ListParagraph"/>
        <w:numPr>
          <w:ilvl w:val="0"/>
          <w:numId w:val="1"/>
        </w:numPr>
        <w:rPr>
          <w:sz w:val="24"/>
          <w:szCs w:val="24"/>
        </w:rPr>
      </w:pPr>
      <w:r w:rsidRPr="009443BD">
        <w:rPr>
          <w:sz w:val="24"/>
          <w:szCs w:val="24"/>
        </w:rPr>
        <w:t xml:space="preserve">Give </w:t>
      </w:r>
      <w:proofErr w:type="spellStart"/>
      <w:r w:rsidRPr="009443BD">
        <w:rPr>
          <w:sz w:val="24"/>
          <w:szCs w:val="24"/>
        </w:rPr>
        <w:t>Priya’s</w:t>
      </w:r>
      <w:proofErr w:type="spellEnd"/>
      <w:r w:rsidRPr="009443BD">
        <w:rPr>
          <w:sz w:val="24"/>
          <w:szCs w:val="24"/>
        </w:rPr>
        <w:t xml:space="preserve"> COVID community resources handout and show families section about how to get vaccinated </w:t>
      </w:r>
      <w:r w:rsidRPr="009443BD">
        <w:rPr>
          <w:sz w:val="24"/>
          <w:szCs w:val="24"/>
        </w:rPr>
        <w:sym w:font="Wingdings" w:char="F04A"/>
      </w:r>
      <w:r w:rsidRPr="009443BD">
        <w:rPr>
          <w:sz w:val="24"/>
          <w:szCs w:val="24"/>
        </w:rPr>
        <w:t xml:space="preserve"> </w:t>
      </w:r>
    </w:p>
    <w:p w:rsidR="00944091" w:rsidRPr="009443BD" w:rsidRDefault="00944091">
      <w:pPr>
        <w:rPr>
          <w:b/>
          <w:sz w:val="24"/>
          <w:szCs w:val="24"/>
        </w:rPr>
      </w:pPr>
      <w:r w:rsidRPr="009443BD">
        <w:rPr>
          <w:b/>
          <w:sz w:val="24"/>
          <w:szCs w:val="24"/>
        </w:rPr>
        <w:t>How do I document?</w:t>
      </w:r>
    </w:p>
    <w:p w:rsidR="00944091" w:rsidRPr="009443BD" w:rsidRDefault="00944091">
      <w:pPr>
        <w:rPr>
          <w:sz w:val="24"/>
          <w:szCs w:val="24"/>
        </w:rPr>
      </w:pPr>
      <w:r w:rsidRPr="009443BD">
        <w:rPr>
          <w:sz w:val="24"/>
          <w:szCs w:val="24"/>
        </w:rPr>
        <w:t xml:space="preserve">Orders </w:t>
      </w:r>
      <w:proofErr w:type="gramStart"/>
      <w:r w:rsidRPr="009443BD">
        <w:rPr>
          <w:sz w:val="24"/>
          <w:szCs w:val="24"/>
        </w:rPr>
        <w:t>Only</w:t>
      </w:r>
      <w:proofErr w:type="gramEnd"/>
      <w:r w:rsidRPr="009443BD">
        <w:rPr>
          <w:sz w:val="24"/>
          <w:szCs w:val="24"/>
        </w:rPr>
        <w:sym w:font="Wingdings" w:char="F0E0"/>
      </w:r>
      <w:r w:rsidRPr="009443BD">
        <w:rPr>
          <w:sz w:val="24"/>
          <w:szCs w:val="24"/>
        </w:rPr>
        <w:t xml:space="preserve">put </w:t>
      </w:r>
      <w:proofErr w:type="spellStart"/>
      <w:r w:rsidRPr="009443BD">
        <w:rPr>
          <w:sz w:val="24"/>
          <w:szCs w:val="24"/>
        </w:rPr>
        <w:t>covid</w:t>
      </w:r>
      <w:proofErr w:type="spellEnd"/>
      <w:r w:rsidRPr="009443BD">
        <w:rPr>
          <w:sz w:val="24"/>
          <w:szCs w:val="24"/>
        </w:rPr>
        <w:t xml:space="preserve"> order and write brief note. This is NOT a billable encounter. Please record their name/MRN and any other notes in the log sheet. </w:t>
      </w:r>
    </w:p>
    <w:p w:rsidR="00944091" w:rsidRPr="009443BD" w:rsidRDefault="00944091">
      <w:pPr>
        <w:rPr>
          <w:b/>
          <w:sz w:val="24"/>
          <w:szCs w:val="24"/>
        </w:rPr>
      </w:pPr>
      <w:r w:rsidRPr="009443BD">
        <w:rPr>
          <w:b/>
          <w:sz w:val="24"/>
          <w:szCs w:val="24"/>
        </w:rPr>
        <w:t>Who follows up on results?</w:t>
      </w:r>
    </w:p>
    <w:p w:rsidR="00944091" w:rsidRPr="009443BD" w:rsidRDefault="00944091">
      <w:pPr>
        <w:rPr>
          <w:sz w:val="24"/>
          <w:szCs w:val="24"/>
        </w:rPr>
      </w:pPr>
      <w:r w:rsidRPr="009443BD">
        <w:rPr>
          <w:sz w:val="24"/>
          <w:szCs w:val="24"/>
        </w:rPr>
        <w:t xml:space="preserve">Whoever sends the test is responsible </w:t>
      </w:r>
      <w:r w:rsidR="00694EB7" w:rsidRPr="009443BD">
        <w:rPr>
          <w:sz w:val="24"/>
          <w:szCs w:val="24"/>
        </w:rPr>
        <w:t>to give results and document in EPIC (either through portal or calling family)</w:t>
      </w:r>
    </w:p>
    <w:p w:rsidR="009443BD" w:rsidRDefault="009443BD">
      <w:pPr>
        <w:rPr>
          <w:b/>
          <w:sz w:val="24"/>
          <w:szCs w:val="24"/>
        </w:rPr>
      </w:pPr>
      <w:r>
        <w:rPr>
          <w:b/>
          <w:sz w:val="24"/>
          <w:szCs w:val="24"/>
        </w:rPr>
        <w:br w:type="page"/>
      </w:r>
    </w:p>
    <w:p w:rsidR="00694EB7" w:rsidRPr="009443BD" w:rsidRDefault="00694EB7">
      <w:pPr>
        <w:rPr>
          <w:b/>
          <w:sz w:val="24"/>
          <w:szCs w:val="24"/>
        </w:rPr>
      </w:pPr>
      <w:r w:rsidRPr="009443BD">
        <w:rPr>
          <w:b/>
          <w:sz w:val="24"/>
          <w:szCs w:val="24"/>
        </w:rPr>
        <w:lastRenderedPageBreak/>
        <w:t>Any new guidelines I should know?</w:t>
      </w:r>
    </w:p>
    <w:p w:rsidR="009443BD" w:rsidRPr="009443BD" w:rsidRDefault="00694EB7" w:rsidP="00694EB7">
      <w:pPr>
        <w:pStyle w:val="ListParagraph"/>
        <w:numPr>
          <w:ilvl w:val="0"/>
          <w:numId w:val="6"/>
        </w:numPr>
        <w:shd w:val="clear" w:color="auto" w:fill="FFFFFF"/>
        <w:spacing w:before="100" w:beforeAutospacing="1" w:after="100" w:afterAutospacing="1"/>
        <w:rPr>
          <w:rFonts w:ascii="Open Sans" w:hAnsi="Open Sans"/>
          <w:sz w:val="24"/>
          <w:szCs w:val="24"/>
        </w:rPr>
      </w:pPr>
      <w:r w:rsidRPr="009443BD">
        <w:rPr>
          <w:b/>
          <w:sz w:val="24"/>
          <w:szCs w:val="24"/>
        </w:rPr>
        <w:t>Quarantine rules</w:t>
      </w:r>
      <w:r w:rsidR="009443BD" w:rsidRPr="009443BD">
        <w:rPr>
          <w:b/>
          <w:sz w:val="24"/>
          <w:szCs w:val="24"/>
        </w:rPr>
        <w:t xml:space="preserve"> if you are vaccinated?</w:t>
      </w:r>
      <w:r w:rsidRPr="009443BD">
        <w:rPr>
          <w:sz w:val="24"/>
          <w:szCs w:val="24"/>
        </w:rPr>
        <w:t xml:space="preserve"> </w:t>
      </w:r>
    </w:p>
    <w:p w:rsidR="00694EB7" w:rsidRDefault="00694EB7" w:rsidP="009443BD">
      <w:pPr>
        <w:pStyle w:val="ListParagraph"/>
        <w:numPr>
          <w:ilvl w:val="1"/>
          <w:numId w:val="6"/>
        </w:numPr>
        <w:shd w:val="clear" w:color="auto" w:fill="FFFFFF"/>
        <w:spacing w:before="100" w:beforeAutospacing="1" w:after="100" w:afterAutospacing="1"/>
        <w:rPr>
          <w:rFonts w:ascii="Open Sans" w:hAnsi="Open Sans"/>
          <w:sz w:val="24"/>
          <w:szCs w:val="24"/>
        </w:rPr>
      </w:pPr>
      <w:r w:rsidRPr="009443BD">
        <w:rPr>
          <w:sz w:val="24"/>
          <w:szCs w:val="24"/>
        </w:rPr>
        <w:t>(</w:t>
      </w:r>
      <w:r w:rsidR="009443BD">
        <w:rPr>
          <w:sz w:val="24"/>
          <w:szCs w:val="24"/>
        </w:rPr>
        <w:t xml:space="preserve">following </w:t>
      </w:r>
      <w:r w:rsidRPr="009443BD">
        <w:rPr>
          <w:sz w:val="24"/>
          <w:szCs w:val="24"/>
        </w:rPr>
        <w:t>per CDC</w:t>
      </w:r>
      <w:r w:rsidR="009443BD">
        <w:rPr>
          <w:sz w:val="24"/>
          <w:szCs w:val="24"/>
        </w:rPr>
        <w:t xml:space="preserve"> Website</w:t>
      </w:r>
      <w:r w:rsidRPr="009443BD">
        <w:rPr>
          <w:sz w:val="24"/>
          <w:szCs w:val="24"/>
        </w:rPr>
        <w:t xml:space="preserve">) </w:t>
      </w:r>
      <w:r w:rsidRPr="009443BD">
        <w:rPr>
          <w:rFonts w:ascii="Open Sans" w:hAnsi="Open Sans"/>
          <w:sz w:val="24"/>
          <w:szCs w:val="24"/>
        </w:rPr>
        <w:t>If you’ve had </w:t>
      </w:r>
      <w:hyperlink r:id="rId5" w:anchor="contact" w:history="1">
        <w:r w:rsidRPr="009443BD">
          <w:rPr>
            <w:rStyle w:val="Hyperlink"/>
            <w:rFonts w:ascii="Open Sans" w:hAnsi="Open Sans"/>
            <w:color w:val="auto"/>
            <w:sz w:val="24"/>
            <w:szCs w:val="24"/>
          </w:rPr>
          <w:t>close contact</w:t>
        </w:r>
      </w:hyperlink>
      <w:r w:rsidRPr="009443BD">
        <w:rPr>
          <w:rFonts w:ascii="Open Sans" w:hAnsi="Open Sans"/>
          <w:sz w:val="24"/>
          <w:szCs w:val="24"/>
        </w:rPr>
        <w:t> with someone who has COVID-19, you should get tested 3-5 days after your exposure, even if you don’t have symptoms. You should also wear a mask indoors in public for 14 days following exposure or until your test result is negative. You should isolate for 10 days if your test result is positive.</w:t>
      </w:r>
    </w:p>
    <w:p w:rsidR="009443BD" w:rsidRPr="009443BD" w:rsidRDefault="009443BD" w:rsidP="009443BD">
      <w:pPr>
        <w:pStyle w:val="ListParagraph"/>
        <w:shd w:val="clear" w:color="auto" w:fill="FFFFFF"/>
        <w:spacing w:before="100" w:beforeAutospacing="1" w:after="100" w:afterAutospacing="1"/>
        <w:ind w:left="1440"/>
        <w:rPr>
          <w:rFonts w:ascii="Open Sans" w:hAnsi="Open Sans"/>
          <w:sz w:val="24"/>
          <w:szCs w:val="24"/>
        </w:rPr>
      </w:pPr>
    </w:p>
    <w:p w:rsidR="009443BD" w:rsidRPr="009443BD" w:rsidRDefault="00694EB7" w:rsidP="009443BD">
      <w:pPr>
        <w:pStyle w:val="ListParagraph"/>
        <w:numPr>
          <w:ilvl w:val="0"/>
          <w:numId w:val="5"/>
        </w:numPr>
        <w:rPr>
          <w:b/>
          <w:sz w:val="24"/>
          <w:szCs w:val="24"/>
        </w:rPr>
      </w:pPr>
      <w:r w:rsidRPr="009443BD">
        <w:rPr>
          <w:b/>
          <w:sz w:val="24"/>
          <w:szCs w:val="24"/>
        </w:rPr>
        <w:t>What is the definition of a close contact?</w:t>
      </w:r>
    </w:p>
    <w:p w:rsidR="009443BD" w:rsidRPr="009443BD" w:rsidRDefault="00694EB7" w:rsidP="009443BD">
      <w:pPr>
        <w:pStyle w:val="ListParagraph"/>
        <w:numPr>
          <w:ilvl w:val="1"/>
          <w:numId w:val="5"/>
        </w:numPr>
        <w:rPr>
          <w:sz w:val="24"/>
          <w:szCs w:val="24"/>
        </w:rPr>
      </w:pPr>
      <w:r w:rsidRPr="009443BD">
        <w:rPr>
          <w:sz w:val="24"/>
          <w:szCs w:val="24"/>
        </w:rPr>
        <w:t>(</w:t>
      </w:r>
      <w:r w:rsidR="009443BD">
        <w:rPr>
          <w:sz w:val="24"/>
          <w:szCs w:val="24"/>
        </w:rPr>
        <w:t xml:space="preserve">following </w:t>
      </w:r>
      <w:r w:rsidRPr="009443BD">
        <w:rPr>
          <w:sz w:val="24"/>
          <w:szCs w:val="24"/>
        </w:rPr>
        <w:t>Per CDC</w:t>
      </w:r>
      <w:r w:rsidR="009443BD">
        <w:rPr>
          <w:sz w:val="24"/>
          <w:szCs w:val="24"/>
        </w:rPr>
        <w:t xml:space="preserve"> Website</w:t>
      </w:r>
      <w:r w:rsidRPr="009443BD">
        <w:rPr>
          <w:sz w:val="24"/>
          <w:szCs w:val="24"/>
        </w:rPr>
        <w:t>)</w:t>
      </w:r>
      <w:r w:rsidR="009443BD" w:rsidRPr="009443BD">
        <w:rPr>
          <w:sz w:val="24"/>
          <w:szCs w:val="24"/>
        </w:rPr>
        <w:t xml:space="preserve"> </w:t>
      </w:r>
      <w:r w:rsidR="009443BD" w:rsidRPr="009443BD">
        <w:rPr>
          <w:rStyle w:val="Strong"/>
          <w:rFonts w:ascii="Open Sans" w:hAnsi="Open Sans"/>
          <w:sz w:val="24"/>
          <w:szCs w:val="24"/>
        </w:rPr>
        <w:t>Close Contact through </w:t>
      </w:r>
      <w:hyperlink r:id="rId6" w:history="1">
        <w:r w:rsidR="009443BD" w:rsidRPr="009443BD">
          <w:rPr>
            <w:rStyle w:val="Hyperlink"/>
            <w:rFonts w:ascii="Open Sans" w:hAnsi="Open Sans"/>
            <w:b/>
            <w:bCs/>
            <w:color w:val="auto"/>
            <w:sz w:val="24"/>
            <w:szCs w:val="24"/>
          </w:rPr>
          <w:t>Proximity and Duration of Exposure</w:t>
        </w:r>
      </w:hyperlink>
      <w:r w:rsidR="009443BD" w:rsidRPr="009443BD">
        <w:rPr>
          <w:rStyle w:val="Strong"/>
          <w:rFonts w:ascii="Open Sans" w:hAnsi="Open Sans"/>
          <w:sz w:val="24"/>
          <w:szCs w:val="24"/>
        </w:rPr>
        <w:t>: </w:t>
      </w:r>
      <w:r w:rsidR="009443BD" w:rsidRPr="009443BD">
        <w:rPr>
          <w:rFonts w:ascii="Open Sans" w:hAnsi="Open Sans"/>
          <w:sz w:val="24"/>
          <w:szCs w:val="24"/>
        </w:rPr>
        <w:t>Someone who was within </w:t>
      </w:r>
      <w:hyperlink r:id="rId7" w:anchor="stay6ft" w:history="1">
        <w:r w:rsidR="009443BD" w:rsidRPr="009443BD">
          <w:rPr>
            <w:rStyle w:val="Hyperlink"/>
            <w:rFonts w:ascii="Open Sans" w:hAnsi="Open Sans"/>
            <w:color w:val="auto"/>
            <w:sz w:val="24"/>
            <w:szCs w:val="24"/>
          </w:rPr>
          <w:t>6 feet of an infected person</w:t>
        </w:r>
      </w:hyperlink>
      <w:r w:rsidR="009443BD" w:rsidRPr="009443BD">
        <w:rPr>
          <w:rFonts w:ascii="Open Sans" w:hAnsi="Open Sans"/>
          <w:sz w:val="24"/>
          <w:szCs w:val="24"/>
        </w:rPr>
        <w:t> (laboratory-confirmed or a </w:t>
      </w:r>
      <w:hyperlink r:id="rId8" w:history="1">
        <w:r w:rsidR="009443BD" w:rsidRPr="009443BD">
          <w:rPr>
            <w:rStyle w:val="Hyperlink"/>
            <w:rFonts w:ascii="Open Sans" w:hAnsi="Open Sans"/>
            <w:color w:val="auto"/>
            <w:sz w:val="24"/>
            <w:szCs w:val="24"/>
          </w:rPr>
          <w:t>clinically compatible illness</w:t>
        </w:r>
      </w:hyperlink>
      <w:r w:rsidR="009443BD" w:rsidRPr="009443BD">
        <w:rPr>
          <w:rFonts w:ascii="Open Sans" w:hAnsi="Open Sans"/>
          <w:sz w:val="24"/>
          <w:szCs w:val="24"/>
        </w:rPr>
        <w:t>) for a cumulative total of 15 minutes or more over a 24-hour period (for example</w:t>
      </w:r>
      <w:r w:rsidR="009443BD" w:rsidRPr="009443BD">
        <w:rPr>
          <w:rStyle w:val="Emphasis"/>
          <w:rFonts w:ascii="Open Sans" w:hAnsi="Open Sans"/>
          <w:sz w:val="24"/>
          <w:szCs w:val="24"/>
        </w:rPr>
        <w:t>, three individual 5-minute exposures for a total of 15 minutes). </w:t>
      </w:r>
      <w:r w:rsidR="009443BD" w:rsidRPr="009443BD">
        <w:rPr>
          <w:rFonts w:ascii="Open Sans" w:hAnsi="Open Sans"/>
          <w:sz w:val="24"/>
          <w:szCs w:val="24"/>
        </w:rPr>
        <w:t>An infected person can spread SARS-CoV-2 starting from 2 days before they have any symptoms (or, for asymptomatic patients, 2 days before the positive specimen collection date), until they meet criteria for </w:t>
      </w:r>
      <w:hyperlink r:id="rId9" w:history="1">
        <w:r w:rsidR="009443BD" w:rsidRPr="009443BD">
          <w:rPr>
            <w:rStyle w:val="Hyperlink"/>
            <w:rFonts w:ascii="Open Sans" w:hAnsi="Open Sans"/>
            <w:color w:val="auto"/>
            <w:sz w:val="24"/>
            <w:szCs w:val="24"/>
          </w:rPr>
          <w:t>discontinuing home isolation</w:t>
        </w:r>
      </w:hyperlink>
      <w:r w:rsidR="009443BD" w:rsidRPr="009443BD">
        <w:rPr>
          <w:rFonts w:ascii="Open Sans" w:hAnsi="Open Sans"/>
          <w:sz w:val="24"/>
          <w:szCs w:val="24"/>
        </w:rPr>
        <w:t>.</w:t>
      </w:r>
    </w:p>
    <w:p w:rsidR="009443BD" w:rsidRPr="009443BD" w:rsidRDefault="009443BD" w:rsidP="009443BD">
      <w:pPr>
        <w:numPr>
          <w:ilvl w:val="0"/>
          <w:numId w:val="7"/>
        </w:numPr>
        <w:shd w:val="clear" w:color="auto" w:fill="FFFFFF"/>
        <w:spacing w:before="100" w:beforeAutospacing="1" w:after="100" w:afterAutospacing="1" w:line="240" w:lineRule="auto"/>
        <w:rPr>
          <w:rFonts w:ascii="Open Sans" w:eastAsia="Times New Roman" w:hAnsi="Open Sans"/>
          <w:sz w:val="24"/>
          <w:szCs w:val="24"/>
        </w:rPr>
      </w:pPr>
      <w:r w:rsidRPr="009443BD">
        <w:rPr>
          <w:rStyle w:val="Strong"/>
          <w:rFonts w:ascii="Open Sans" w:eastAsia="Times New Roman" w:hAnsi="Open Sans"/>
          <w:sz w:val="24"/>
          <w:szCs w:val="24"/>
        </w:rPr>
        <w:t>Exception:</w:t>
      </w:r>
      <w:r w:rsidRPr="009443BD">
        <w:rPr>
          <w:rFonts w:ascii="Open Sans" w:eastAsia="Times New Roman" w:hAnsi="Open Sans"/>
          <w:sz w:val="24"/>
          <w:szCs w:val="24"/>
        </w:rPr>
        <w:t> In the </w:t>
      </w:r>
      <w:r w:rsidRPr="009443BD">
        <w:rPr>
          <w:rStyle w:val="Strong"/>
          <w:rFonts w:ascii="Open Sans" w:eastAsia="Times New Roman" w:hAnsi="Open Sans"/>
          <w:sz w:val="24"/>
          <w:szCs w:val="24"/>
        </w:rPr>
        <w:t>K–12 indoor classroom</w:t>
      </w:r>
      <w:r w:rsidRPr="009443BD">
        <w:rPr>
          <w:rFonts w:ascii="Open Sans" w:eastAsia="Times New Roman" w:hAnsi="Open Sans"/>
          <w:sz w:val="24"/>
          <w:szCs w:val="24"/>
        </w:rPr>
        <w:t> setting, the close contact definition excludes</w:t>
      </w:r>
      <w:r w:rsidRPr="009443BD">
        <w:rPr>
          <w:rStyle w:val="Emphasis"/>
          <w:rFonts w:ascii="Open Sans" w:eastAsia="Times New Roman" w:hAnsi="Open Sans"/>
          <w:sz w:val="24"/>
          <w:szCs w:val="24"/>
        </w:rPr>
        <w:t> </w:t>
      </w:r>
      <w:r w:rsidRPr="009443BD">
        <w:rPr>
          <w:rFonts w:ascii="Open Sans" w:eastAsia="Times New Roman" w:hAnsi="Open Sans"/>
          <w:sz w:val="24"/>
          <w:szCs w:val="24"/>
        </w:rPr>
        <w:t>students who were within</w:t>
      </w:r>
      <w:r w:rsidRPr="009443BD">
        <w:rPr>
          <w:rStyle w:val="Strong"/>
          <w:rFonts w:ascii="Open Sans" w:eastAsia="Times New Roman" w:hAnsi="Open Sans"/>
          <w:sz w:val="24"/>
          <w:szCs w:val="24"/>
        </w:rPr>
        <w:t> </w:t>
      </w:r>
      <w:r w:rsidRPr="009443BD">
        <w:rPr>
          <w:rFonts w:ascii="Open Sans" w:eastAsia="Times New Roman" w:hAnsi="Open Sans"/>
          <w:sz w:val="24"/>
          <w:szCs w:val="24"/>
        </w:rPr>
        <w:t>3 to 6 feet of an infected student (laboratory-confirmed or a </w:t>
      </w:r>
      <w:hyperlink r:id="rId10" w:tgtFrame="_blank" w:history="1">
        <w:r w:rsidRPr="009443BD">
          <w:rPr>
            <w:rStyle w:val="Hyperlink"/>
            <w:rFonts w:ascii="Open Sans" w:eastAsia="Times New Roman" w:hAnsi="Open Sans"/>
            <w:color w:val="auto"/>
            <w:sz w:val="24"/>
            <w:szCs w:val="24"/>
          </w:rPr>
          <w:t>clinically compatible illness</w:t>
        </w:r>
      </w:hyperlink>
      <w:r w:rsidRPr="009443BD">
        <w:rPr>
          <w:rFonts w:ascii="Open Sans" w:eastAsia="Times New Roman" w:hAnsi="Open Sans"/>
          <w:sz w:val="24"/>
          <w:szCs w:val="24"/>
        </w:rPr>
        <w:t>) if both the infected student and the exposed student(s) </w:t>
      </w:r>
      <w:hyperlink r:id="rId11" w:history="1">
        <w:r w:rsidRPr="009443BD">
          <w:rPr>
            <w:rStyle w:val="Hyperlink"/>
            <w:rFonts w:ascii="Open Sans" w:eastAsia="Times New Roman" w:hAnsi="Open Sans"/>
            <w:color w:val="auto"/>
            <w:sz w:val="24"/>
            <w:szCs w:val="24"/>
          </w:rPr>
          <w:t>correctly and consistently</w:t>
        </w:r>
      </w:hyperlink>
      <w:r w:rsidRPr="009443BD">
        <w:rPr>
          <w:rFonts w:ascii="Open Sans" w:eastAsia="Times New Roman" w:hAnsi="Open Sans"/>
          <w:sz w:val="24"/>
          <w:szCs w:val="24"/>
        </w:rPr>
        <w:t> wore well-fitting </w:t>
      </w:r>
      <w:hyperlink r:id="rId12" w:tgtFrame="_blank" w:history="1">
        <w:r w:rsidRPr="009443BD">
          <w:rPr>
            <w:rStyle w:val="Hyperlink"/>
            <w:rFonts w:ascii="Open Sans" w:eastAsia="Times New Roman" w:hAnsi="Open Sans"/>
            <w:color w:val="auto"/>
            <w:sz w:val="24"/>
            <w:szCs w:val="24"/>
          </w:rPr>
          <w:t>masks</w:t>
        </w:r>
      </w:hyperlink>
      <w:r w:rsidRPr="009443BD">
        <w:rPr>
          <w:rFonts w:ascii="Open Sans" w:eastAsia="Times New Roman" w:hAnsi="Open Sans"/>
          <w:sz w:val="24"/>
          <w:szCs w:val="24"/>
        </w:rPr>
        <w:t> the entire time.</w:t>
      </w:r>
    </w:p>
    <w:p w:rsidR="009443BD" w:rsidRPr="009443BD" w:rsidRDefault="009443BD" w:rsidP="009443BD">
      <w:pPr>
        <w:pStyle w:val="NormalWeb"/>
        <w:shd w:val="clear" w:color="auto" w:fill="FFFFFF"/>
        <w:spacing w:before="0" w:beforeAutospacing="0"/>
        <w:ind w:left="1440"/>
        <w:rPr>
          <w:rFonts w:ascii="Open Sans" w:hAnsi="Open Sans"/>
        </w:rPr>
      </w:pPr>
      <w:r w:rsidRPr="009443BD">
        <w:rPr>
          <w:rFonts w:ascii="Open Sans" w:hAnsi="Open Sans"/>
        </w:rPr>
        <w:t>This exception does not apply to teachers, staff, or other adults in the indoor classroom setting.</w:t>
      </w:r>
    </w:p>
    <w:p w:rsidR="00694EB7" w:rsidRPr="009443BD" w:rsidRDefault="00694EB7" w:rsidP="009443BD">
      <w:pPr>
        <w:pStyle w:val="ListParagraph"/>
        <w:ind w:left="1440"/>
        <w:rPr>
          <w:sz w:val="24"/>
          <w:szCs w:val="24"/>
        </w:rPr>
      </w:pPr>
    </w:p>
    <w:p w:rsidR="00694EB7" w:rsidRPr="009443BD" w:rsidRDefault="00694EB7">
      <w:pPr>
        <w:rPr>
          <w:b/>
          <w:sz w:val="24"/>
          <w:szCs w:val="24"/>
        </w:rPr>
      </w:pPr>
    </w:p>
    <w:sectPr w:rsidR="00694EB7" w:rsidRPr="009443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00817"/>
    <w:multiLevelType w:val="hybridMultilevel"/>
    <w:tmpl w:val="042E9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0077FC"/>
    <w:multiLevelType w:val="hybridMultilevel"/>
    <w:tmpl w:val="88E2C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4E0583"/>
    <w:multiLevelType w:val="hybridMultilevel"/>
    <w:tmpl w:val="2B0E1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C61441"/>
    <w:multiLevelType w:val="hybridMultilevel"/>
    <w:tmpl w:val="8B583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E4683B"/>
    <w:multiLevelType w:val="hybridMultilevel"/>
    <w:tmpl w:val="DEBA16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9143B47"/>
    <w:multiLevelType w:val="hybridMultilevel"/>
    <w:tmpl w:val="A3D80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714280"/>
    <w:multiLevelType w:val="multilevel"/>
    <w:tmpl w:val="C86C6BC4"/>
    <w:lvl w:ilvl="0">
      <w:start w:val="1"/>
      <w:numFmt w:val="bullet"/>
      <w:lvlText w:val=""/>
      <w:lvlJc w:val="left"/>
      <w:pPr>
        <w:tabs>
          <w:tab w:val="num" w:pos="2520"/>
        </w:tabs>
        <w:ind w:left="2520" w:hanging="360"/>
      </w:pPr>
      <w:rPr>
        <w:rFonts w:ascii="Symbol" w:hAnsi="Symbol" w:hint="default"/>
        <w:sz w:val="20"/>
      </w:rPr>
    </w:lvl>
    <w:lvl w:ilvl="1">
      <w:start w:val="1"/>
      <w:numFmt w:val="bullet"/>
      <w:lvlText w:val="o"/>
      <w:lvlJc w:val="left"/>
      <w:pPr>
        <w:tabs>
          <w:tab w:val="num" w:pos="3240"/>
        </w:tabs>
        <w:ind w:left="3240" w:hanging="360"/>
      </w:pPr>
      <w:rPr>
        <w:rFonts w:ascii="Courier New" w:hAnsi="Courier New" w:cs="Times New Roman" w:hint="default"/>
        <w:sz w:val="20"/>
      </w:rPr>
    </w:lvl>
    <w:lvl w:ilvl="2">
      <w:start w:val="1"/>
      <w:numFmt w:val="bullet"/>
      <w:lvlText w:val=""/>
      <w:lvlJc w:val="left"/>
      <w:pPr>
        <w:tabs>
          <w:tab w:val="num" w:pos="3960"/>
        </w:tabs>
        <w:ind w:left="3960" w:hanging="360"/>
      </w:pPr>
      <w:rPr>
        <w:rFonts w:ascii="Wingdings" w:hAnsi="Wingdings" w:hint="default"/>
        <w:sz w:val="20"/>
      </w:rPr>
    </w:lvl>
    <w:lvl w:ilvl="3">
      <w:start w:val="1"/>
      <w:numFmt w:val="bullet"/>
      <w:lvlText w:val=""/>
      <w:lvlJc w:val="left"/>
      <w:pPr>
        <w:tabs>
          <w:tab w:val="num" w:pos="4680"/>
        </w:tabs>
        <w:ind w:left="4680" w:hanging="360"/>
      </w:pPr>
      <w:rPr>
        <w:rFonts w:ascii="Wingdings" w:hAnsi="Wingdings" w:hint="default"/>
        <w:sz w:val="20"/>
      </w:rPr>
    </w:lvl>
    <w:lvl w:ilvl="4">
      <w:start w:val="1"/>
      <w:numFmt w:val="bullet"/>
      <w:lvlText w:val=""/>
      <w:lvlJc w:val="left"/>
      <w:pPr>
        <w:tabs>
          <w:tab w:val="num" w:pos="5400"/>
        </w:tabs>
        <w:ind w:left="5400" w:hanging="360"/>
      </w:pPr>
      <w:rPr>
        <w:rFonts w:ascii="Wingdings" w:hAnsi="Wingdings" w:hint="default"/>
        <w:sz w:val="20"/>
      </w:rPr>
    </w:lvl>
    <w:lvl w:ilvl="5">
      <w:start w:val="1"/>
      <w:numFmt w:val="bullet"/>
      <w:lvlText w:val=""/>
      <w:lvlJc w:val="left"/>
      <w:pPr>
        <w:tabs>
          <w:tab w:val="num" w:pos="6120"/>
        </w:tabs>
        <w:ind w:left="6120" w:hanging="360"/>
      </w:pPr>
      <w:rPr>
        <w:rFonts w:ascii="Wingdings" w:hAnsi="Wingdings" w:hint="default"/>
        <w:sz w:val="20"/>
      </w:rPr>
    </w:lvl>
    <w:lvl w:ilvl="6">
      <w:start w:val="1"/>
      <w:numFmt w:val="bullet"/>
      <w:lvlText w:val=""/>
      <w:lvlJc w:val="left"/>
      <w:pPr>
        <w:tabs>
          <w:tab w:val="num" w:pos="6840"/>
        </w:tabs>
        <w:ind w:left="6840" w:hanging="360"/>
      </w:pPr>
      <w:rPr>
        <w:rFonts w:ascii="Wingdings" w:hAnsi="Wingdings" w:hint="default"/>
        <w:sz w:val="20"/>
      </w:rPr>
    </w:lvl>
    <w:lvl w:ilvl="7">
      <w:start w:val="1"/>
      <w:numFmt w:val="bullet"/>
      <w:lvlText w:val=""/>
      <w:lvlJc w:val="left"/>
      <w:pPr>
        <w:tabs>
          <w:tab w:val="num" w:pos="7560"/>
        </w:tabs>
        <w:ind w:left="7560" w:hanging="360"/>
      </w:pPr>
      <w:rPr>
        <w:rFonts w:ascii="Wingdings" w:hAnsi="Wingdings" w:hint="default"/>
        <w:sz w:val="20"/>
      </w:rPr>
    </w:lvl>
    <w:lvl w:ilvl="8">
      <w:start w:val="1"/>
      <w:numFmt w:val="bullet"/>
      <w:lvlText w:val=""/>
      <w:lvlJc w:val="left"/>
      <w:pPr>
        <w:tabs>
          <w:tab w:val="num" w:pos="8280"/>
        </w:tabs>
        <w:ind w:left="8280" w:hanging="360"/>
      </w:pPr>
      <w:rPr>
        <w:rFonts w:ascii="Wingdings" w:hAnsi="Wingdings" w:hint="default"/>
        <w:sz w:val="20"/>
      </w:rPr>
    </w:lvl>
  </w:abstractNum>
  <w:num w:numId="1">
    <w:abstractNumId w:val="3"/>
  </w:num>
  <w:num w:numId="2">
    <w:abstractNumId w:val="2"/>
  </w:num>
  <w:num w:numId="3">
    <w:abstractNumId w:val="1"/>
  </w:num>
  <w:num w:numId="4">
    <w:abstractNumId w:val="4"/>
  </w:num>
  <w:num w:numId="5">
    <w:abstractNumId w:val="5"/>
  </w:num>
  <w:num w:numId="6">
    <w:abstractNumId w:val="0"/>
  </w:num>
  <w:num w:numId="7">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091"/>
    <w:rsid w:val="00694EB7"/>
    <w:rsid w:val="00944091"/>
    <w:rsid w:val="009443BD"/>
    <w:rsid w:val="00D21FBF"/>
    <w:rsid w:val="00FA6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27EA8"/>
  <w15:chartTrackingRefBased/>
  <w15:docId w15:val="{E985982B-CAD1-4541-845A-145770954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4091"/>
    <w:pPr>
      <w:ind w:left="720"/>
      <w:contextualSpacing/>
    </w:pPr>
  </w:style>
  <w:style w:type="character" w:styleId="Hyperlink">
    <w:name w:val="Hyperlink"/>
    <w:basedOn w:val="DefaultParagraphFont"/>
    <w:uiPriority w:val="99"/>
    <w:semiHidden/>
    <w:unhideWhenUsed/>
    <w:rsid w:val="00694EB7"/>
    <w:rPr>
      <w:color w:val="0563C1"/>
      <w:u w:val="single"/>
    </w:rPr>
  </w:style>
  <w:style w:type="paragraph" w:styleId="NormalWeb">
    <w:name w:val="Normal (Web)"/>
    <w:basedOn w:val="Normal"/>
    <w:uiPriority w:val="99"/>
    <w:semiHidden/>
    <w:unhideWhenUsed/>
    <w:rsid w:val="009443BD"/>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9443BD"/>
    <w:rPr>
      <w:b/>
      <w:bCs/>
    </w:rPr>
  </w:style>
  <w:style w:type="character" w:styleId="Emphasis">
    <w:name w:val="Emphasis"/>
    <w:basedOn w:val="DefaultParagraphFont"/>
    <w:uiPriority w:val="20"/>
    <w:qFormat/>
    <w:rsid w:val="009443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3149">
      <w:bodyDiv w:val="1"/>
      <w:marLeft w:val="0"/>
      <w:marRight w:val="0"/>
      <w:marTop w:val="0"/>
      <w:marBottom w:val="0"/>
      <w:divBdr>
        <w:top w:val="none" w:sz="0" w:space="0" w:color="auto"/>
        <w:left w:val="none" w:sz="0" w:space="0" w:color="auto"/>
        <w:bottom w:val="none" w:sz="0" w:space="0" w:color="auto"/>
        <w:right w:val="none" w:sz="0" w:space="0" w:color="auto"/>
      </w:divBdr>
    </w:div>
    <w:div w:id="191064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hcp/clinical-guidance-management-patient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dc.gov/coronavirus/2019-ncov/prevent-getting-sick/prevention.html" TargetMode="External"/><Relationship Id="rId12" Type="http://schemas.openxmlformats.org/officeDocument/2006/relationships/hyperlink" Target="https://www.cdc.gov/coronavirus/2019-ncov/community/schools-childcare/cloth-face-cove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dc.gov/coronavirus/2019-ncov/science/science-briefs/sars-cov-2-transmission.html" TargetMode="External"/><Relationship Id="rId11" Type="http://schemas.openxmlformats.org/officeDocument/2006/relationships/hyperlink" Target="https://www.cdc.gov/coronavirus/2019-ncov/your-health/effective-masks.html" TargetMode="External"/><Relationship Id="rId5" Type="http://schemas.openxmlformats.org/officeDocument/2006/relationships/hyperlink" Target="https://www.cdc.gov/coronavirus/2019-ncov/php/contact-tracing/contact-tracing-plan/appendix.html" TargetMode="External"/><Relationship Id="rId10" Type="http://schemas.openxmlformats.org/officeDocument/2006/relationships/hyperlink" Target="https://www.cdc.gov/coronavirus/2019-ncov/hcp/clinical-guidance-management-patients.html" TargetMode="External"/><Relationship Id="rId4" Type="http://schemas.openxmlformats.org/officeDocument/2006/relationships/webSettings" Target="webSettings.xml"/><Relationship Id="rId9" Type="http://schemas.openxmlformats.org/officeDocument/2006/relationships/hyperlink" Target="https://www.cdc.gov/coronavirus/2019-ncov/hcp/duration-isolation.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649</Words>
  <Characters>3701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Tenet Healthcare</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Spengler, Emily</dc:creator>
  <cp:keywords/>
  <dc:description/>
  <cp:lastModifiedBy>Spengler, Emily</cp:lastModifiedBy>
  <cp:revision>1</cp:revision>
  <dcterms:created xsi:type="dcterms:W3CDTF">2021-09-12T20:46:00Z</dcterms:created>
  <dcterms:modified xsi:type="dcterms:W3CDTF">2021-09-12T21:10:00Z</dcterms:modified>
</cp:coreProperties>
</file>