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284" w:rsidRPr="009B0D49" w:rsidRDefault="000D2340" w:rsidP="000D2340">
      <w:pPr>
        <w:jc w:val="center"/>
        <w:rPr>
          <w:rFonts w:cstheme="minorHAnsi"/>
          <w:b/>
        </w:rPr>
      </w:pPr>
      <w:bookmarkStart w:id="0" w:name="_GoBack"/>
      <w:bookmarkEnd w:id="0"/>
      <w:r w:rsidRPr="009B0D49">
        <w:rPr>
          <w:rFonts w:cstheme="minorHAnsi"/>
          <w:b/>
        </w:rPr>
        <w:t>Virtual Clinic</w:t>
      </w:r>
    </w:p>
    <w:p w:rsidR="00E03DDA" w:rsidRPr="009B0D49" w:rsidRDefault="00E03DDA" w:rsidP="00E03DDA">
      <w:pPr>
        <w:rPr>
          <w:rFonts w:cstheme="minorHAnsi"/>
          <w:b/>
        </w:rPr>
      </w:pPr>
      <w:r w:rsidRPr="009B0D49">
        <w:rPr>
          <w:rFonts w:cstheme="minorHAnsi"/>
          <w:b/>
        </w:rPr>
        <w:t>This document is designed to guide clinicians in the selection of appropriate chemoprophylaxis and</w:t>
      </w:r>
      <w:r w:rsidR="009B0D49">
        <w:rPr>
          <w:rFonts w:cstheme="minorHAnsi"/>
          <w:b/>
        </w:rPr>
        <w:t xml:space="preserve"> provide</w:t>
      </w:r>
      <w:r w:rsidRPr="009B0D49">
        <w:rPr>
          <w:rFonts w:cstheme="minorHAnsi"/>
          <w:b/>
        </w:rPr>
        <w:t xml:space="preserve"> vaccine recommendations for children prior to international travel.  Please visit the </w:t>
      </w:r>
      <w:hyperlink r:id="rId5" w:history="1">
        <w:r w:rsidRPr="009B0D49">
          <w:rPr>
            <w:rStyle w:val="Hyperlink"/>
            <w:rFonts w:cstheme="minorHAnsi"/>
            <w:b/>
          </w:rPr>
          <w:t>CDC Travelers’ Health</w:t>
        </w:r>
      </w:hyperlink>
      <w:r w:rsidRPr="009B0D49">
        <w:rPr>
          <w:rFonts w:cstheme="minorHAnsi"/>
          <w:b/>
        </w:rPr>
        <w:t xml:space="preserve"> website for up-to-date information, including alerts about current outbreaks.  </w:t>
      </w:r>
    </w:p>
    <w:p w:rsidR="000D2340" w:rsidRPr="009B0D49" w:rsidRDefault="000D2340" w:rsidP="000D2340">
      <w:pPr>
        <w:rPr>
          <w:rFonts w:cstheme="minorHAnsi"/>
          <w:b/>
          <w:u w:val="single"/>
        </w:rPr>
      </w:pPr>
      <w:r w:rsidRPr="009B0D49">
        <w:rPr>
          <w:rFonts w:cstheme="minorHAnsi"/>
          <w:b/>
          <w:u w:val="single"/>
        </w:rPr>
        <w:t>Malaria Chemoprophylaxis:</w:t>
      </w:r>
    </w:p>
    <w:p w:rsidR="007C2D6F" w:rsidRPr="009B0D49" w:rsidRDefault="000D2340" w:rsidP="007C2D6F">
      <w:pPr>
        <w:rPr>
          <w:rFonts w:cstheme="minorHAnsi"/>
        </w:rPr>
      </w:pPr>
      <w:r w:rsidRPr="009B0D49">
        <w:rPr>
          <w:rFonts w:cstheme="minorHAnsi"/>
        </w:rPr>
        <w:t xml:space="preserve">The goal of malaria chemoprophylaxis is to prevent malaria caused by all Plasmodium species among short-term and long-term international travelers. Malaria prevention requires combination of chemoprophylaxis with mosquito avoidance measures.  This section will focus on optimal choice of chemoprophylactic agent for prevention of malaria among travelers.  Several factors need to be considered when choosing optimal agent for a traveler, which include a) travel related factors including travel destination, specific regions (example, rural versus urban) traveled, time to travel, and b) patient related factors, including receipt of concurrent medications, cost of medications, and potential adverse events.  </w:t>
      </w:r>
    </w:p>
    <w:p w:rsidR="002B78F0" w:rsidRPr="009B0D49" w:rsidRDefault="007C2D6F" w:rsidP="007C2D6F">
      <w:pPr>
        <w:rPr>
          <w:rFonts w:cstheme="minorHAnsi"/>
          <w:b/>
        </w:rPr>
      </w:pPr>
      <w:r w:rsidRPr="009B0D49">
        <w:rPr>
          <w:rFonts w:cstheme="minorHAnsi"/>
          <w:b/>
        </w:rPr>
        <w:t>The following table is adapted from the CDC to help the provider in choosing an optimal malaria chemoprophylaxis regimen.</w:t>
      </w:r>
    </w:p>
    <w:tbl>
      <w:tblPr>
        <w:tblStyle w:val="TableGrid"/>
        <w:tblW w:w="0" w:type="auto"/>
        <w:tblLook w:val="04A0" w:firstRow="1" w:lastRow="0" w:firstColumn="1" w:lastColumn="0" w:noHBand="0" w:noVBand="1"/>
      </w:tblPr>
      <w:tblGrid>
        <w:gridCol w:w="1544"/>
        <w:gridCol w:w="4711"/>
        <w:gridCol w:w="6695"/>
      </w:tblGrid>
      <w:tr w:rsidR="007C2D6F" w:rsidRPr="009B0D49" w:rsidTr="007C5122">
        <w:tc>
          <w:tcPr>
            <w:tcW w:w="12950" w:type="dxa"/>
            <w:gridSpan w:val="3"/>
          </w:tcPr>
          <w:p w:rsidR="007C2D6F" w:rsidRPr="009B0D49" w:rsidRDefault="007C2D6F" w:rsidP="000D2340">
            <w:pPr>
              <w:rPr>
                <w:rFonts w:cstheme="minorHAnsi"/>
              </w:rPr>
            </w:pPr>
            <w:r w:rsidRPr="009B0D49">
              <w:rPr>
                <w:rFonts w:cstheme="minorHAnsi"/>
              </w:rPr>
              <w:t xml:space="preserve">Table 1.  Drugs available for Malaria Chemoprophylaxis </w:t>
            </w:r>
          </w:p>
        </w:tc>
      </w:tr>
      <w:tr w:rsidR="000C07BD" w:rsidRPr="009B0D49" w:rsidTr="007C2D6F">
        <w:tc>
          <w:tcPr>
            <w:tcW w:w="0" w:type="auto"/>
            <w:hideMark/>
          </w:tcPr>
          <w:p w:rsidR="007C2D6F" w:rsidRPr="009B0D49" w:rsidRDefault="007C5122" w:rsidP="007C2D6F">
            <w:pPr>
              <w:jc w:val="center"/>
              <w:rPr>
                <w:rFonts w:eastAsia="Times New Roman" w:cstheme="minorHAnsi"/>
                <w:b/>
                <w:bCs/>
                <w:color w:val="F37223"/>
              </w:rPr>
            </w:pPr>
            <w:r w:rsidRPr="009B0D49">
              <w:rPr>
                <w:rFonts w:eastAsia="Times New Roman" w:cstheme="minorHAnsi"/>
                <w:b/>
                <w:bCs/>
                <w:color w:val="F37223"/>
              </w:rPr>
              <w:t>Drug</w:t>
            </w:r>
          </w:p>
        </w:tc>
        <w:tc>
          <w:tcPr>
            <w:tcW w:w="0" w:type="auto"/>
            <w:hideMark/>
          </w:tcPr>
          <w:p w:rsidR="007C2D6F" w:rsidRPr="009B0D49" w:rsidRDefault="00A3629B" w:rsidP="007C2D6F">
            <w:pPr>
              <w:jc w:val="center"/>
              <w:rPr>
                <w:rFonts w:eastAsia="Times New Roman" w:cstheme="minorHAnsi"/>
                <w:b/>
                <w:bCs/>
                <w:color w:val="F37223"/>
              </w:rPr>
            </w:pPr>
            <w:r w:rsidRPr="009B0D49">
              <w:rPr>
                <w:rFonts w:eastAsia="Times New Roman" w:cstheme="minorHAnsi"/>
                <w:b/>
                <w:bCs/>
                <w:color w:val="F37223"/>
              </w:rPr>
              <w:t xml:space="preserve">Considerations for usage </w:t>
            </w:r>
          </w:p>
        </w:tc>
        <w:tc>
          <w:tcPr>
            <w:tcW w:w="0" w:type="auto"/>
            <w:hideMark/>
          </w:tcPr>
          <w:p w:rsidR="007C2D6F" w:rsidRPr="009B0D49" w:rsidRDefault="007C5122" w:rsidP="007C5122">
            <w:pPr>
              <w:jc w:val="center"/>
              <w:rPr>
                <w:rFonts w:eastAsia="Times New Roman" w:cstheme="minorHAnsi"/>
                <w:b/>
                <w:bCs/>
                <w:color w:val="F37223"/>
              </w:rPr>
            </w:pPr>
            <w:r w:rsidRPr="009B0D49">
              <w:rPr>
                <w:rFonts w:eastAsia="Times New Roman" w:cstheme="minorHAnsi"/>
                <w:b/>
                <w:bCs/>
                <w:color w:val="F37223"/>
              </w:rPr>
              <w:t>Comments, precautions and c</w:t>
            </w:r>
            <w:r w:rsidR="007C2D6F" w:rsidRPr="009B0D49">
              <w:rPr>
                <w:rFonts w:eastAsia="Times New Roman" w:cstheme="minorHAnsi"/>
                <w:b/>
                <w:bCs/>
                <w:color w:val="F37223"/>
              </w:rPr>
              <w:t>ontraindications</w:t>
            </w:r>
          </w:p>
        </w:tc>
      </w:tr>
      <w:tr w:rsidR="007C5122" w:rsidRPr="009B0D49" w:rsidTr="00D5332B">
        <w:tc>
          <w:tcPr>
            <w:tcW w:w="1653" w:type="dxa"/>
          </w:tcPr>
          <w:p w:rsidR="002B78F0" w:rsidRPr="009B0D49" w:rsidRDefault="002B78F0" w:rsidP="000D2340">
            <w:pPr>
              <w:rPr>
                <w:rFonts w:cstheme="minorHAnsi"/>
              </w:rPr>
            </w:pPr>
          </w:p>
        </w:tc>
        <w:tc>
          <w:tcPr>
            <w:tcW w:w="4874" w:type="dxa"/>
          </w:tcPr>
          <w:p w:rsidR="002B78F0" w:rsidRPr="009B0D49" w:rsidRDefault="002B78F0" w:rsidP="000D2340">
            <w:pPr>
              <w:rPr>
                <w:rFonts w:cstheme="minorHAnsi"/>
              </w:rPr>
            </w:pPr>
          </w:p>
        </w:tc>
        <w:tc>
          <w:tcPr>
            <w:tcW w:w="6423" w:type="dxa"/>
          </w:tcPr>
          <w:p w:rsidR="002B78F0" w:rsidRPr="009B0D49" w:rsidRDefault="002B78F0" w:rsidP="000D2340">
            <w:pPr>
              <w:rPr>
                <w:rFonts w:cstheme="minorHAnsi"/>
              </w:rPr>
            </w:pPr>
          </w:p>
        </w:tc>
      </w:tr>
      <w:tr w:rsidR="000C07BD" w:rsidRPr="009B0D49" w:rsidTr="007C2D6F">
        <w:tc>
          <w:tcPr>
            <w:tcW w:w="0" w:type="auto"/>
            <w:hideMark/>
          </w:tcPr>
          <w:p w:rsidR="007C2D6F" w:rsidRPr="009B0D49" w:rsidRDefault="007C2D6F" w:rsidP="007C2D6F">
            <w:pPr>
              <w:rPr>
                <w:rFonts w:eastAsia="Times New Roman" w:cstheme="minorHAnsi"/>
                <w:b/>
                <w:color w:val="000000"/>
              </w:rPr>
            </w:pPr>
            <w:r w:rsidRPr="009B0D49">
              <w:rPr>
                <w:rFonts w:eastAsia="Times New Roman" w:cstheme="minorHAnsi"/>
                <w:b/>
                <w:color w:val="000000"/>
              </w:rPr>
              <w:t>Atovaquone-proguanil</w:t>
            </w:r>
          </w:p>
        </w:tc>
        <w:tc>
          <w:tcPr>
            <w:tcW w:w="0" w:type="auto"/>
            <w:hideMark/>
          </w:tcPr>
          <w:p w:rsidR="00A3629B" w:rsidRPr="009B0D49" w:rsidRDefault="00A3629B" w:rsidP="00A3629B">
            <w:pPr>
              <w:numPr>
                <w:ilvl w:val="0"/>
                <w:numId w:val="2"/>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t xml:space="preserve">Prophylaxis in all areas </w:t>
            </w:r>
          </w:p>
          <w:p w:rsidR="007C2D6F" w:rsidRPr="009B0D49" w:rsidRDefault="007C2D6F" w:rsidP="00A3629B">
            <w:pPr>
              <w:numPr>
                <w:ilvl w:val="0"/>
                <w:numId w:val="2"/>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t>Good for last-minute travelers because the drug is started 1–2 days before travel.</w:t>
            </w:r>
          </w:p>
          <w:p w:rsidR="007C2D6F" w:rsidRPr="009B0D49" w:rsidRDefault="007C2D6F" w:rsidP="007C2D6F">
            <w:pPr>
              <w:numPr>
                <w:ilvl w:val="0"/>
                <w:numId w:val="2"/>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t>Some people prefer to take a daily medicine.</w:t>
            </w:r>
          </w:p>
          <w:p w:rsidR="007C2D6F" w:rsidRPr="009B0D49" w:rsidRDefault="007C2D6F" w:rsidP="007C2D6F">
            <w:pPr>
              <w:numPr>
                <w:ilvl w:val="0"/>
                <w:numId w:val="2"/>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t>Good choice for shorter trips because the traveler takes the medicine for only 7 days after traveling rather than 4 weeks.</w:t>
            </w:r>
          </w:p>
          <w:p w:rsidR="007C2D6F" w:rsidRPr="009B0D49" w:rsidRDefault="007C2D6F" w:rsidP="007C2D6F">
            <w:pPr>
              <w:numPr>
                <w:ilvl w:val="0"/>
                <w:numId w:val="2"/>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t>Well tolerated—side effects uncommon.</w:t>
            </w:r>
          </w:p>
          <w:p w:rsidR="007C2D6F" w:rsidRPr="009B0D49" w:rsidRDefault="007C2D6F" w:rsidP="007C2D6F">
            <w:pPr>
              <w:numPr>
                <w:ilvl w:val="0"/>
                <w:numId w:val="2"/>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t>Pediatric tablets are available and may be more convenient.</w:t>
            </w:r>
          </w:p>
        </w:tc>
        <w:tc>
          <w:tcPr>
            <w:tcW w:w="0" w:type="auto"/>
            <w:hideMark/>
          </w:tcPr>
          <w:p w:rsidR="007C5122" w:rsidRPr="009B0D49" w:rsidRDefault="007C5122" w:rsidP="007C5122">
            <w:pPr>
              <w:numPr>
                <w:ilvl w:val="0"/>
                <w:numId w:val="3"/>
              </w:numPr>
              <w:spacing w:before="100" w:beforeAutospacing="1" w:after="100" w:afterAutospacing="1" w:line="270" w:lineRule="atLeast"/>
              <w:rPr>
                <w:rFonts w:eastAsia="Times New Roman" w:cstheme="minorHAnsi"/>
                <w:color w:val="000000"/>
              </w:rPr>
            </w:pPr>
            <w:r w:rsidRPr="009B0D49">
              <w:rPr>
                <w:rFonts w:eastAsia="Times New Roman" w:cstheme="minorHAnsi"/>
                <w:b/>
                <w:color w:val="000000"/>
              </w:rPr>
              <w:t>Not recommended</w:t>
            </w:r>
            <w:r w:rsidRPr="009B0D49">
              <w:rPr>
                <w:rFonts w:eastAsia="Times New Roman" w:cstheme="minorHAnsi"/>
                <w:color w:val="000000"/>
              </w:rPr>
              <w:t xml:space="preserve"> for prophylaxis for children weighing &lt;5 kg, pregnant women, and women breastfeeding infants weighing &lt;5 kg. </w:t>
            </w:r>
          </w:p>
          <w:p w:rsidR="007C2D6F" w:rsidRPr="009B0D49" w:rsidRDefault="007C2D6F" w:rsidP="007C5122">
            <w:pPr>
              <w:numPr>
                <w:ilvl w:val="0"/>
                <w:numId w:val="3"/>
              </w:numPr>
              <w:spacing w:before="100" w:beforeAutospacing="1" w:after="100" w:afterAutospacing="1" w:line="270" w:lineRule="atLeast"/>
              <w:rPr>
                <w:rFonts w:eastAsia="Times New Roman" w:cstheme="minorHAnsi"/>
                <w:color w:val="000000"/>
              </w:rPr>
            </w:pPr>
            <w:r w:rsidRPr="009B0D49">
              <w:rPr>
                <w:rFonts w:eastAsia="Times New Roman" w:cstheme="minorHAnsi"/>
                <w:b/>
                <w:color w:val="000000"/>
              </w:rPr>
              <w:t>Contraindicated</w:t>
            </w:r>
            <w:r w:rsidRPr="009B0D49">
              <w:rPr>
                <w:rFonts w:eastAsia="Times New Roman" w:cstheme="minorHAnsi"/>
                <w:color w:val="000000"/>
              </w:rPr>
              <w:t xml:space="preserve"> in people with severe renal impairment (creatinine clearance &lt;30 mL/min). </w:t>
            </w:r>
          </w:p>
          <w:p w:rsidR="007C5122" w:rsidRPr="009B0D49" w:rsidRDefault="007C2D6F" w:rsidP="007C5122">
            <w:pPr>
              <w:numPr>
                <w:ilvl w:val="0"/>
                <w:numId w:val="3"/>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t xml:space="preserve">Tends to be </w:t>
            </w:r>
            <w:r w:rsidRPr="009B0D49">
              <w:rPr>
                <w:rFonts w:eastAsia="Times New Roman" w:cstheme="minorHAnsi"/>
                <w:b/>
                <w:color w:val="000000"/>
              </w:rPr>
              <w:t xml:space="preserve">more expensive </w:t>
            </w:r>
            <w:r w:rsidRPr="009B0D49">
              <w:rPr>
                <w:rFonts w:eastAsia="Times New Roman" w:cstheme="minorHAnsi"/>
                <w:color w:val="000000"/>
              </w:rPr>
              <w:t>than some of the other options (especially for long trips).</w:t>
            </w:r>
          </w:p>
          <w:p w:rsidR="007C2D6F" w:rsidRPr="009B0D49" w:rsidRDefault="007C2D6F" w:rsidP="007C5122">
            <w:pPr>
              <w:spacing w:before="100" w:beforeAutospacing="1" w:after="100" w:afterAutospacing="1" w:line="270" w:lineRule="atLeast"/>
              <w:ind w:left="15"/>
              <w:rPr>
                <w:rFonts w:eastAsia="Times New Roman" w:cstheme="minorHAnsi"/>
                <w:color w:val="000000"/>
              </w:rPr>
            </w:pPr>
          </w:p>
        </w:tc>
      </w:tr>
      <w:tr w:rsidR="00D5332B" w:rsidRPr="009B0D49" w:rsidTr="007C2D6F">
        <w:tc>
          <w:tcPr>
            <w:tcW w:w="0" w:type="auto"/>
            <w:hideMark/>
          </w:tcPr>
          <w:p w:rsidR="00D5332B" w:rsidRPr="009B0D49" w:rsidRDefault="00D5332B" w:rsidP="00D5332B">
            <w:pPr>
              <w:rPr>
                <w:rFonts w:eastAsia="Times New Roman" w:cstheme="minorHAnsi"/>
                <w:b/>
                <w:color w:val="000000"/>
              </w:rPr>
            </w:pPr>
            <w:r w:rsidRPr="009B0D49">
              <w:rPr>
                <w:rFonts w:eastAsia="Times New Roman" w:cstheme="minorHAnsi"/>
                <w:b/>
                <w:color w:val="000000"/>
              </w:rPr>
              <w:t>Chloroquine</w:t>
            </w:r>
          </w:p>
        </w:tc>
        <w:tc>
          <w:tcPr>
            <w:tcW w:w="0" w:type="auto"/>
            <w:hideMark/>
          </w:tcPr>
          <w:p w:rsidR="00D5332B" w:rsidRPr="009B0D49" w:rsidRDefault="00D5332B" w:rsidP="00D5332B">
            <w:pPr>
              <w:numPr>
                <w:ilvl w:val="0"/>
                <w:numId w:val="4"/>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t xml:space="preserve">Prophylaxis only in areas with </w:t>
            </w:r>
            <w:hyperlink r:id="rId6" w:history="1">
              <w:r w:rsidRPr="009B0D49">
                <w:rPr>
                  <w:rStyle w:val="Hyperlink"/>
                  <w:rFonts w:eastAsia="Times New Roman" w:cstheme="minorHAnsi"/>
                </w:rPr>
                <w:t>chloroquine-sensitive malaria</w:t>
              </w:r>
            </w:hyperlink>
            <w:r w:rsidRPr="009B0D49">
              <w:rPr>
                <w:rFonts w:eastAsia="Times New Roman" w:cstheme="minorHAnsi"/>
                <w:color w:val="000000"/>
              </w:rPr>
              <w:t xml:space="preserve"> </w:t>
            </w:r>
          </w:p>
          <w:p w:rsidR="00D5332B" w:rsidRPr="009B0D49" w:rsidRDefault="00D5332B" w:rsidP="00D5332B">
            <w:pPr>
              <w:numPr>
                <w:ilvl w:val="0"/>
                <w:numId w:val="4"/>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t>Some people would rather take medicine weekly.</w:t>
            </w:r>
          </w:p>
          <w:p w:rsidR="00D5332B" w:rsidRPr="009B0D49" w:rsidRDefault="00D5332B" w:rsidP="00D5332B">
            <w:pPr>
              <w:numPr>
                <w:ilvl w:val="0"/>
                <w:numId w:val="4"/>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t>Good choice for long trips because it is taken only weekly.</w:t>
            </w:r>
          </w:p>
          <w:p w:rsidR="00D5332B" w:rsidRPr="009B0D49" w:rsidRDefault="00D5332B" w:rsidP="00D5332B">
            <w:pPr>
              <w:numPr>
                <w:ilvl w:val="0"/>
                <w:numId w:val="4"/>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lastRenderedPageBreak/>
              <w:t>Some people are already taking hydroxychloroquine chronically for rheumatologic conditions; in those instances, they may not have to take an additional medicine.</w:t>
            </w:r>
          </w:p>
          <w:p w:rsidR="00D5332B" w:rsidRPr="009B0D49" w:rsidRDefault="00D5332B" w:rsidP="00D5332B">
            <w:pPr>
              <w:numPr>
                <w:ilvl w:val="0"/>
                <w:numId w:val="4"/>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t>Can be used in all trimesters of pregnancy.</w:t>
            </w:r>
          </w:p>
        </w:tc>
        <w:tc>
          <w:tcPr>
            <w:tcW w:w="0" w:type="auto"/>
            <w:hideMark/>
          </w:tcPr>
          <w:p w:rsidR="00D5332B" w:rsidRPr="009B0D49" w:rsidRDefault="00D5332B" w:rsidP="00D5332B">
            <w:pPr>
              <w:numPr>
                <w:ilvl w:val="0"/>
                <w:numId w:val="5"/>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lastRenderedPageBreak/>
              <w:t>Not a good choice for last-minute travelers, because drug needs to be started 1–2 weeks before travel.</w:t>
            </w:r>
          </w:p>
          <w:p w:rsidR="00D5332B" w:rsidRPr="009B0D49" w:rsidRDefault="00D5332B" w:rsidP="00D5332B">
            <w:pPr>
              <w:numPr>
                <w:ilvl w:val="0"/>
                <w:numId w:val="5"/>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t>Cannot be used in areas with chloroquine or mefloquine resistance.</w:t>
            </w:r>
          </w:p>
          <w:p w:rsidR="00D5332B" w:rsidRPr="009B0D49" w:rsidRDefault="00D5332B" w:rsidP="00D5332B">
            <w:pPr>
              <w:numPr>
                <w:ilvl w:val="0"/>
                <w:numId w:val="5"/>
              </w:numPr>
              <w:spacing w:before="100" w:beforeAutospacing="1" w:after="100" w:afterAutospacing="1" w:line="270" w:lineRule="atLeast"/>
              <w:rPr>
                <w:rFonts w:eastAsia="Times New Roman" w:cstheme="minorHAnsi"/>
                <w:b/>
                <w:color w:val="000000"/>
              </w:rPr>
            </w:pPr>
            <w:r w:rsidRPr="009B0D49">
              <w:rPr>
                <w:rFonts w:eastAsia="Times New Roman" w:cstheme="minorHAnsi"/>
                <w:b/>
                <w:color w:val="000000"/>
              </w:rPr>
              <w:t>May exacerbate psoriasis.</w:t>
            </w:r>
          </w:p>
          <w:p w:rsidR="00D5332B" w:rsidRPr="009B0D49" w:rsidRDefault="00D5332B" w:rsidP="00D5332B">
            <w:pPr>
              <w:numPr>
                <w:ilvl w:val="0"/>
                <w:numId w:val="5"/>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lastRenderedPageBreak/>
              <w:t>For short trips, some people would rather not take medication for 4 weeks after travel.</w:t>
            </w:r>
          </w:p>
        </w:tc>
      </w:tr>
      <w:tr w:rsidR="00D5332B" w:rsidRPr="009B0D49" w:rsidTr="007C2D6F">
        <w:tc>
          <w:tcPr>
            <w:tcW w:w="0" w:type="auto"/>
            <w:hideMark/>
          </w:tcPr>
          <w:p w:rsidR="00D5332B" w:rsidRPr="009B0D49" w:rsidRDefault="00D5332B" w:rsidP="00D5332B">
            <w:pPr>
              <w:rPr>
                <w:rFonts w:eastAsia="Times New Roman" w:cstheme="minorHAnsi"/>
                <w:b/>
                <w:color w:val="000000"/>
              </w:rPr>
            </w:pPr>
            <w:r w:rsidRPr="009B0D49">
              <w:rPr>
                <w:rFonts w:eastAsia="Times New Roman" w:cstheme="minorHAnsi"/>
                <w:b/>
                <w:color w:val="000000"/>
              </w:rPr>
              <w:lastRenderedPageBreak/>
              <w:t>Doxycycline</w:t>
            </w:r>
          </w:p>
        </w:tc>
        <w:tc>
          <w:tcPr>
            <w:tcW w:w="0" w:type="auto"/>
            <w:hideMark/>
          </w:tcPr>
          <w:p w:rsidR="00D5332B" w:rsidRPr="009B0D49" w:rsidRDefault="00D5332B" w:rsidP="00D5332B">
            <w:pPr>
              <w:numPr>
                <w:ilvl w:val="0"/>
                <w:numId w:val="6"/>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t xml:space="preserve">Prophylaxis in all areas </w:t>
            </w:r>
          </w:p>
          <w:p w:rsidR="00D5332B" w:rsidRPr="009B0D49" w:rsidRDefault="00D5332B" w:rsidP="00D5332B">
            <w:pPr>
              <w:numPr>
                <w:ilvl w:val="0"/>
                <w:numId w:val="6"/>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t>Some people prefer to take a daily medicine.</w:t>
            </w:r>
          </w:p>
          <w:p w:rsidR="00D5332B" w:rsidRPr="009B0D49" w:rsidRDefault="00D5332B" w:rsidP="00D5332B">
            <w:pPr>
              <w:numPr>
                <w:ilvl w:val="0"/>
                <w:numId w:val="6"/>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t>Good for last-minute travelers because the drug is started 1–2 days before travel.</w:t>
            </w:r>
          </w:p>
          <w:p w:rsidR="00D5332B" w:rsidRPr="009B0D49" w:rsidRDefault="00D5332B" w:rsidP="00D5332B">
            <w:pPr>
              <w:numPr>
                <w:ilvl w:val="0"/>
                <w:numId w:val="6"/>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t xml:space="preserve">Tends to be the </w:t>
            </w:r>
            <w:r w:rsidRPr="009B0D49">
              <w:rPr>
                <w:rFonts w:eastAsia="Times New Roman" w:cstheme="minorHAnsi"/>
                <w:b/>
                <w:color w:val="000000"/>
              </w:rPr>
              <w:t>least expensive</w:t>
            </w:r>
            <w:r w:rsidRPr="009B0D49">
              <w:rPr>
                <w:rFonts w:eastAsia="Times New Roman" w:cstheme="minorHAnsi"/>
                <w:color w:val="000000"/>
              </w:rPr>
              <w:t xml:space="preserve"> antimalarial.</w:t>
            </w:r>
          </w:p>
          <w:p w:rsidR="00D5332B" w:rsidRPr="009B0D49" w:rsidRDefault="00D5332B" w:rsidP="00D5332B">
            <w:pPr>
              <w:numPr>
                <w:ilvl w:val="0"/>
                <w:numId w:val="6"/>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t>People who are already taking doxycycline chronically to prevent acne do not have to take an additional medicine.</w:t>
            </w:r>
          </w:p>
          <w:p w:rsidR="00D5332B" w:rsidRPr="009B0D49" w:rsidRDefault="00D5332B" w:rsidP="00D5332B">
            <w:pPr>
              <w:numPr>
                <w:ilvl w:val="0"/>
                <w:numId w:val="6"/>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t xml:space="preserve">Doxycycline also can prevent some additional infections (such as </w:t>
            </w:r>
            <w:proofErr w:type="spellStart"/>
            <w:r w:rsidRPr="009B0D49">
              <w:rPr>
                <w:rFonts w:eastAsia="Times New Roman" w:cstheme="minorHAnsi"/>
                <w:color w:val="000000"/>
              </w:rPr>
              <w:t>rickettsial</w:t>
            </w:r>
            <w:proofErr w:type="spellEnd"/>
            <w:r w:rsidRPr="009B0D49">
              <w:rPr>
                <w:rFonts w:eastAsia="Times New Roman" w:cstheme="minorHAnsi"/>
                <w:color w:val="000000"/>
              </w:rPr>
              <w:t xml:space="preserve"> infections and leptospirosis), so it may be preferred by people planning to hike, camp, and swim in fresh water.</w:t>
            </w:r>
          </w:p>
        </w:tc>
        <w:tc>
          <w:tcPr>
            <w:tcW w:w="0" w:type="auto"/>
            <w:hideMark/>
          </w:tcPr>
          <w:p w:rsidR="00D5332B" w:rsidRPr="009B0D49" w:rsidRDefault="00D5332B" w:rsidP="00D5332B">
            <w:pPr>
              <w:numPr>
                <w:ilvl w:val="0"/>
                <w:numId w:val="7"/>
              </w:numPr>
              <w:spacing w:before="100" w:beforeAutospacing="1" w:after="100" w:afterAutospacing="1" w:line="270" w:lineRule="atLeast"/>
              <w:rPr>
                <w:rFonts w:eastAsia="Times New Roman" w:cstheme="minorHAnsi"/>
                <w:color w:val="000000"/>
              </w:rPr>
            </w:pPr>
            <w:r w:rsidRPr="009B0D49">
              <w:rPr>
                <w:rFonts w:eastAsia="Times New Roman" w:cstheme="minorHAnsi"/>
                <w:b/>
                <w:color w:val="000000"/>
              </w:rPr>
              <w:t xml:space="preserve">Contraindicated </w:t>
            </w:r>
            <w:r w:rsidRPr="009B0D49">
              <w:rPr>
                <w:rFonts w:eastAsia="Times New Roman" w:cstheme="minorHAnsi"/>
                <w:color w:val="000000"/>
              </w:rPr>
              <w:t>in children &lt;8 years of age and pregnant women.</w:t>
            </w:r>
          </w:p>
          <w:p w:rsidR="00D5332B" w:rsidRPr="009B0D49" w:rsidRDefault="00D5332B" w:rsidP="00D5332B">
            <w:pPr>
              <w:numPr>
                <w:ilvl w:val="0"/>
                <w:numId w:val="7"/>
              </w:numPr>
              <w:spacing w:before="100" w:beforeAutospacing="1" w:after="100" w:afterAutospacing="1" w:line="270" w:lineRule="atLeast"/>
              <w:ind w:left="375"/>
              <w:rPr>
                <w:rFonts w:eastAsia="Times New Roman" w:cstheme="minorHAnsi"/>
                <w:color w:val="000000"/>
              </w:rPr>
            </w:pPr>
            <w:r w:rsidRPr="009B0D49">
              <w:rPr>
                <w:rFonts w:eastAsia="Times New Roman" w:cstheme="minorHAnsi"/>
                <w:color w:val="000000"/>
              </w:rPr>
              <w:t>For short trips, some people would rather not take medication for 4 weeks after travel.</w:t>
            </w:r>
          </w:p>
          <w:p w:rsidR="00D5332B" w:rsidRPr="009B0D49" w:rsidRDefault="00D5332B" w:rsidP="00D5332B">
            <w:pPr>
              <w:numPr>
                <w:ilvl w:val="0"/>
                <w:numId w:val="7"/>
              </w:numPr>
              <w:spacing w:before="100" w:beforeAutospacing="1" w:after="100" w:afterAutospacing="1" w:line="270" w:lineRule="atLeast"/>
              <w:ind w:left="375"/>
              <w:rPr>
                <w:rFonts w:eastAsia="Times New Roman" w:cstheme="minorHAnsi"/>
                <w:color w:val="000000"/>
              </w:rPr>
            </w:pPr>
            <w:r w:rsidRPr="009B0D49">
              <w:rPr>
                <w:rFonts w:eastAsia="Times New Roman" w:cstheme="minorHAnsi"/>
                <w:color w:val="000000"/>
              </w:rPr>
              <w:t>People may want to avoid the increased risk of sun sensitivity.</w:t>
            </w:r>
          </w:p>
        </w:tc>
      </w:tr>
      <w:tr w:rsidR="00D5332B" w:rsidRPr="009B0D49" w:rsidTr="007C2D6F">
        <w:tc>
          <w:tcPr>
            <w:tcW w:w="0" w:type="auto"/>
            <w:hideMark/>
          </w:tcPr>
          <w:p w:rsidR="00D5332B" w:rsidRPr="009B0D49" w:rsidRDefault="00D5332B" w:rsidP="00D5332B">
            <w:pPr>
              <w:rPr>
                <w:rFonts w:eastAsia="Times New Roman" w:cstheme="minorHAnsi"/>
                <w:b/>
                <w:color w:val="000000"/>
              </w:rPr>
            </w:pPr>
            <w:r w:rsidRPr="009B0D49">
              <w:rPr>
                <w:rFonts w:eastAsia="Times New Roman" w:cstheme="minorHAnsi"/>
                <w:b/>
                <w:color w:val="000000"/>
              </w:rPr>
              <w:t>Mefloquine</w:t>
            </w:r>
          </w:p>
        </w:tc>
        <w:tc>
          <w:tcPr>
            <w:tcW w:w="0" w:type="auto"/>
            <w:hideMark/>
          </w:tcPr>
          <w:p w:rsidR="00D5332B" w:rsidRPr="009B0D49" w:rsidRDefault="00D5332B" w:rsidP="00D5332B">
            <w:pPr>
              <w:numPr>
                <w:ilvl w:val="0"/>
                <w:numId w:val="8"/>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t xml:space="preserve">Prophylaxis in areas with </w:t>
            </w:r>
            <w:hyperlink r:id="rId7" w:history="1">
              <w:r w:rsidRPr="009B0D49">
                <w:rPr>
                  <w:rStyle w:val="Hyperlink"/>
                  <w:rFonts w:eastAsia="Times New Roman" w:cstheme="minorHAnsi"/>
                </w:rPr>
                <w:t>mefloquine-sensitive malaria</w:t>
              </w:r>
            </w:hyperlink>
          </w:p>
          <w:p w:rsidR="00D5332B" w:rsidRPr="009B0D49" w:rsidRDefault="00D5332B" w:rsidP="00D5332B">
            <w:pPr>
              <w:numPr>
                <w:ilvl w:val="0"/>
                <w:numId w:val="8"/>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t>Good choice for long trips because it is taken only weekly</w:t>
            </w:r>
          </w:p>
          <w:p w:rsidR="00D5332B" w:rsidRPr="009B0D49" w:rsidRDefault="00D5332B" w:rsidP="00D5332B">
            <w:pPr>
              <w:numPr>
                <w:ilvl w:val="0"/>
                <w:numId w:val="8"/>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t>Can be used in all trimesters of pregnancy</w:t>
            </w:r>
          </w:p>
        </w:tc>
        <w:tc>
          <w:tcPr>
            <w:tcW w:w="0" w:type="auto"/>
            <w:hideMark/>
          </w:tcPr>
          <w:p w:rsidR="00D5332B" w:rsidRPr="009B0D49" w:rsidRDefault="00D5332B" w:rsidP="00D5332B">
            <w:pPr>
              <w:pStyle w:val="ListParagraph"/>
              <w:numPr>
                <w:ilvl w:val="0"/>
                <w:numId w:val="9"/>
              </w:numPr>
              <w:rPr>
                <w:rFonts w:eastAsia="Times New Roman" w:cstheme="minorHAnsi"/>
                <w:color w:val="000000"/>
              </w:rPr>
            </w:pPr>
            <w:r w:rsidRPr="009B0D49">
              <w:rPr>
                <w:rFonts w:eastAsia="Times New Roman" w:cstheme="minorHAnsi"/>
                <w:color w:val="000000"/>
              </w:rPr>
              <w:t>Not a good choice for last-minute travelers because drug needs to be started ≥2 weeks before travel.</w:t>
            </w:r>
          </w:p>
          <w:p w:rsidR="00D5332B" w:rsidRPr="009B0D49" w:rsidRDefault="00D5332B" w:rsidP="00D5332B">
            <w:pPr>
              <w:numPr>
                <w:ilvl w:val="0"/>
                <w:numId w:val="9"/>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t>Cannot be used in areas with mefloquine resistance.</w:t>
            </w:r>
          </w:p>
          <w:p w:rsidR="00D5332B" w:rsidRPr="009B0D49" w:rsidRDefault="00D5332B" w:rsidP="00D5332B">
            <w:pPr>
              <w:numPr>
                <w:ilvl w:val="0"/>
                <w:numId w:val="9"/>
              </w:numPr>
              <w:spacing w:before="100" w:beforeAutospacing="1" w:after="100" w:afterAutospacing="1" w:line="270" w:lineRule="atLeast"/>
              <w:rPr>
                <w:rFonts w:eastAsia="Times New Roman" w:cstheme="minorHAnsi"/>
                <w:color w:val="000000"/>
              </w:rPr>
            </w:pPr>
            <w:r w:rsidRPr="009B0D49">
              <w:rPr>
                <w:rFonts w:eastAsia="Times New Roman" w:cstheme="minorHAnsi"/>
                <w:b/>
                <w:color w:val="000000"/>
              </w:rPr>
              <w:t>Contraindicated</w:t>
            </w:r>
            <w:r w:rsidRPr="009B0D49">
              <w:rPr>
                <w:rFonts w:eastAsia="Times New Roman" w:cstheme="minorHAnsi"/>
                <w:color w:val="000000"/>
              </w:rPr>
              <w:t xml:space="preserve"> in people allergic to mefloquine or related compounds (quinine, quinidine) and in people with active depression, a recent history of depression, generalized anxiety disorder, psychosis, schizophrenia, other major psychiatric disorders, or seizures. Use with caution in people with psychiatric disturbances or a previous history of depression. </w:t>
            </w:r>
          </w:p>
          <w:p w:rsidR="00D5332B" w:rsidRPr="009B0D49" w:rsidRDefault="00D5332B" w:rsidP="00D5332B">
            <w:pPr>
              <w:numPr>
                <w:ilvl w:val="0"/>
                <w:numId w:val="9"/>
              </w:numPr>
              <w:spacing w:before="100" w:beforeAutospacing="1" w:after="100" w:afterAutospacing="1" w:line="270" w:lineRule="atLeast"/>
              <w:rPr>
                <w:rFonts w:eastAsia="Times New Roman" w:cstheme="minorHAnsi"/>
                <w:color w:val="000000"/>
              </w:rPr>
            </w:pPr>
            <w:r w:rsidRPr="009B0D49">
              <w:rPr>
                <w:rFonts w:eastAsia="Times New Roman" w:cstheme="minorHAnsi"/>
                <w:b/>
                <w:color w:val="000000"/>
              </w:rPr>
              <w:t>Not recommended</w:t>
            </w:r>
            <w:r w:rsidRPr="009B0D49">
              <w:rPr>
                <w:rFonts w:eastAsia="Times New Roman" w:cstheme="minorHAnsi"/>
                <w:color w:val="000000"/>
              </w:rPr>
              <w:t xml:space="preserve"> for people with cardiac conduction abnormalities</w:t>
            </w:r>
          </w:p>
        </w:tc>
      </w:tr>
      <w:tr w:rsidR="00D5332B" w:rsidRPr="009B0D49" w:rsidTr="007C2D6F">
        <w:tc>
          <w:tcPr>
            <w:tcW w:w="0" w:type="auto"/>
            <w:hideMark/>
          </w:tcPr>
          <w:p w:rsidR="00D5332B" w:rsidRPr="009B0D49" w:rsidRDefault="00D5332B" w:rsidP="00D5332B">
            <w:pPr>
              <w:rPr>
                <w:rFonts w:eastAsia="Times New Roman" w:cstheme="minorHAnsi"/>
                <w:b/>
                <w:color w:val="000000"/>
              </w:rPr>
            </w:pPr>
            <w:r w:rsidRPr="009B0D49">
              <w:rPr>
                <w:rFonts w:eastAsia="Times New Roman" w:cstheme="minorHAnsi"/>
                <w:b/>
                <w:color w:val="000000"/>
              </w:rPr>
              <w:t>Primaquine</w:t>
            </w:r>
          </w:p>
        </w:tc>
        <w:tc>
          <w:tcPr>
            <w:tcW w:w="0" w:type="auto"/>
            <w:hideMark/>
          </w:tcPr>
          <w:p w:rsidR="00D5332B" w:rsidRPr="009B0D49" w:rsidRDefault="00D5332B" w:rsidP="00D5332B">
            <w:pPr>
              <w:numPr>
                <w:ilvl w:val="0"/>
                <w:numId w:val="10"/>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t xml:space="preserve">Prophylaxis for short-duration travel to areas with </w:t>
            </w:r>
            <w:hyperlink r:id="rId8" w:history="1">
              <w:r w:rsidRPr="009B0D49">
                <w:rPr>
                  <w:rStyle w:val="Hyperlink"/>
                  <w:rFonts w:eastAsia="Times New Roman" w:cstheme="minorHAnsi"/>
                </w:rPr>
                <w:t xml:space="preserve">principally </w:t>
              </w:r>
              <w:proofErr w:type="spellStart"/>
              <w:r w:rsidRPr="009B0D49">
                <w:rPr>
                  <w:rStyle w:val="Hyperlink"/>
                  <w:rFonts w:eastAsia="Times New Roman" w:cstheme="minorHAnsi"/>
                  <w:i/>
                </w:rPr>
                <w:t>P.vivax</w:t>
              </w:r>
              <w:proofErr w:type="spellEnd"/>
            </w:hyperlink>
          </w:p>
          <w:p w:rsidR="00D5332B" w:rsidRPr="009B0D49" w:rsidRDefault="00D5332B" w:rsidP="00D5332B">
            <w:pPr>
              <w:numPr>
                <w:ilvl w:val="0"/>
                <w:numId w:val="10"/>
              </w:numPr>
              <w:spacing w:before="100" w:beforeAutospacing="1" w:after="100" w:afterAutospacing="1" w:line="270" w:lineRule="atLeast"/>
              <w:rPr>
                <w:rFonts w:eastAsia="Times New Roman" w:cstheme="minorHAnsi"/>
                <w:color w:val="000000"/>
              </w:rPr>
            </w:pPr>
            <w:r w:rsidRPr="009B0D49">
              <w:rPr>
                <w:rFonts w:eastAsia="Times New Roman" w:cstheme="minorHAnsi"/>
                <w:color w:val="000000"/>
              </w:rPr>
              <w:lastRenderedPageBreak/>
              <w:t>It is the most effective medicine for preventing </w:t>
            </w:r>
            <w:r w:rsidRPr="009B0D49">
              <w:rPr>
                <w:rFonts w:eastAsia="Times New Roman" w:cstheme="minorHAnsi"/>
                <w:i/>
                <w:iCs/>
                <w:color w:val="000000"/>
              </w:rPr>
              <w:t>P. vivax</w:t>
            </w:r>
            <w:r w:rsidRPr="009B0D49">
              <w:rPr>
                <w:rFonts w:eastAsia="Times New Roman" w:cstheme="minorHAnsi"/>
                <w:color w:val="000000"/>
              </w:rPr>
              <w:t>, so it is a good choice for travel to places with &gt;90% </w:t>
            </w:r>
            <w:r w:rsidRPr="009B0D49">
              <w:rPr>
                <w:rFonts w:eastAsia="Times New Roman" w:cstheme="minorHAnsi"/>
                <w:i/>
                <w:iCs/>
                <w:color w:val="000000"/>
              </w:rPr>
              <w:t>P. vivax</w:t>
            </w:r>
            <w:r w:rsidRPr="009B0D49">
              <w:rPr>
                <w:rFonts w:eastAsia="Times New Roman" w:cstheme="minorHAnsi"/>
                <w:color w:val="000000"/>
              </w:rPr>
              <w:t>.</w:t>
            </w:r>
          </w:p>
          <w:p w:rsidR="00D5332B" w:rsidRPr="009B0D49" w:rsidRDefault="00D5332B" w:rsidP="00D5332B">
            <w:pPr>
              <w:numPr>
                <w:ilvl w:val="0"/>
                <w:numId w:val="10"/>
              </w:numPr>
              <w:spacing w:before="100" w:beforeAutospacing="1" w:after="100" w:afterAutospacing="1" w:line="270" w:lineRule="atLeast"/>
              <w:ind w:left="375"/>
              <w:rPr>
                <w:rFonts w:eastAsia="Times New Roman" w:cstheme="minorHAnsi"/>
                <w:color w:val="000000"/>
              </w:rPr>
            </w:pPr>
            <w:r w:rsidRPr="009B0D49">
              <w:rPr>
                <w:rFonts w:eastAsia="Times New Roman" w:cstheme="minorHAnsi"/>
                <w:color w:val="000000"/>
              </w:rPr>
              <w:t>Good choice for shorter trips because you only have to take the medicine for 7 days after traveling rather than 4 weeks.</w:t>
            </w:r>
          </w:p>
          <w:p w:rsidR="00D5332B" w:rsidRPr="009B0D49" w:rsidRDefault="00D5332B" w:rsidP="00D5332B">
            <w:pPr>
              <w:numPr>
                <w:ilvl w:val="0"/>
                <w:numId w:val="10"/>
              </w:numPr>
              <w:spacing w:before="100" w:beforeAutospacing="1" w:after="100" w:afterAutospacing="1" w:line="270" w:lineRule="atLeast"/>
              <w:ind w:left="375"/>
              <w:rPr>
                <w:rFonts w:eastAsia="Times New Roman" w:cstheme="minorHAnsi"/>
                <w:color w:val="000000"/>
              </w:rPr>
            </w:pPr>
            <w:r w:rsidRPr="009B0D49">
              <w:rPr>
                <w:rFonts w:eastAsia="Times New Roman" w:cstheme="minorHAnsi"/>
                <w:color w:val="000000"/>
              </w:rPr>
              <w:t>Good for last-minute travelers because the drug is started 1–2 days before travel.</w:t>
            </w:r>
          </w:p>
          <w:p w:rsidR="00D5332B" w:rsidRPr="009B0D49" w:rsidRDefault="00D5332B" w:rsidP="00D5332B">
            <w:pPr>
              <w:numPr>
                <w:ilvl w:val="0"/>
                <w:numId w:val="10"/>
              </w:numPr>
              <w:spacing w:before="100" w:beforeAutospacing="1" w:after="100" w:afterAutospacing="1" w:line="270" w:lineRule="atLeast"/>
              <w:ind w:left="375"/>
              <w:rPr>
                <w:rFonts w:eastAsia="Times New Roman" w:cstheme="minorHAnsi"/>
                <w:color w:val="000000"/>
              </w:rPr>
            </w:pPr>
            <w:r w:rsidRPr="009B0D49">
              <w:rPr>
                <w:rFonts w:eastAsia="Times New Roman" w:cstheme="minorHAnsi"/>
                <w:color w:val="000000"/>
              </w:rPr>
              <w:t>Some people prefer to take a daily medicine.</w:t>
            </w:r>
          </w:p>
        </w:tc>
        <w:tc>
          <w:tcPr>
            <w:tcW w:w="0" w:type="auto"/>
            <w:hideMark/>
          </w:tcPr>
          <w:p w:rsidR="00D5332B" w:rsidRPr="009B0D49" w:rsidRDefault="00D5332B" w:rsidP="00D5332B">
            <w:pPr>
              <w:numPr>
                <w:ilvl w:val="0"/>
                <w:numId w:val="11"/>
              </w:numPr>
              <w:spacing w:before="100" w:beforeAutospacing="1" w:after="100" w:afterAutospacing="1" w:line="270" w:lineRule="atLeast"/>
              <w:rPr>
                <w:rFonts w:eastAsia="Times New Roman" w:cstheme="minorHAnsi"/>
                <w:color w:val="000000"/>
              </w:rPr>
            </w:pPr>
            <w:r w:rsidRPr="009B0D49">
              <w:rPr>
                <w:rFonts w:eastAsia="Times New Roman" w:cstheme="minorHAnsi"/>
                <w:b/>
                <w:color w:val="000000"/>
              </w:rPr>
              <w:lastRenderedPageBreak/>
              <w:t>Contraindicated</w:t>
            </w:r>
            <w:r w:rsidRPr="009B0D49">
              <w:rPr>
                <w:rFonts w:eastAsia="Times New Roman" w:cstheme="minorHAnsi"/>
                <w:color w:val="000000"/>
              </w:rPr>
              <w:t xml:space="preserve"> in people with G6PD deficiency. </w:t>
            </w:r>
          </w:p>
          <w:p w:rsidR="00D5332B" w:rsidRPr="009B0D49" w:rsidRDefault="00D5332B" w:rsidP="00D5332B">
            <w:pPr>
              <w:numPr>
                <w:ilvl w:val="0"/>
                <w:numId w:val="11"/>
              </w:numPr>
              <w:spacing w:before="100" w:beforeAutospacing="1" w:after="100" w:afterAutospacing="1" w:line="270" w:lineRule="atLeast"/>
              <w:rPr>
                <w:rFonts w:eastAsia="Times New Roman" w:cstheme="minorHAnsi"/>
                <w:color w:val="000000"/>
              </w:rPr>
            </w:pPr>
            <w:r w:rsidRPr="009B0D49">
              <w:rPr>
                <w:rFonts w:eastAsia="Times New Roman" w:cstheme="minorHAnsi"/>
                <w:b/>
                <w:color w:val="000000"/>
              </w:rPr>
              <w:lastRenderedPageBreak/>
              <w:t>Contraindicated</w:t>
            </w:r>
            <w:r w:rsidRPr="009B0D49">
              <w:rPr>
                <w:rFonts w:eastAsia="Times New Roman" w:cstheme="minorHAnsi"/>
                <w:color w:val="000000"/>
              </w:rPr>
              <w:t xml:space="preserve"> during pregnancy and lactation, </w:t>
            </w:r>
            <w:r w:rsidRPr="009B0D49">
              <w:rPr>
                <w:rFonts w:eastAsia="Times New Roman" w:cstheme="minorHAnsi"/>
                <w:color w:val="000000"/>
                <w:u w:val="single"/>
              </w:rPr>
              <w:t>unless</w:t>
            </w:r>
            <w:r w:rsidRPr="009B0D49">
              <w:rPr>
                <w:rFonts w:eastAsia="Times New Roman" w:cstheme="minorHAnsi"/>
                <w:color w:val="000000"/>
              </w:rPr>
              <w:t xml:space="preserve"> the infant being breastfed has a documented normal G6PD level.</w:t>
            </w:r>
          </w:p>
          <w:p w:rsidR="00D5332B" w:rsidRPr="009B0D49" w:rsidRDefault="00D5332B" w:rsidP="00D5332B">
            <w:pPr>
              <w:numPr>
                <w:ilvl w:val="0"/>
                <w:numId w:val="11"/>
              </w:numPr>
              <w:spacing w:before="100" w:beforeAutospacing="1" w:after="100" w:afterAutospacing="1" w:line="270" w:lineRule="atLeast"/>
              <w:ind w:left="375"/>
              <w:rPr>
                <w:rFonts w:eastAsia="Times New Roman" w:cstheme="minorHAnsi"/>
                <w:color w:val="000000"/>
              </w:rPr>
            </w:pPr>
            <w:r w:rsidRPr="009B0D49">
              <w:rPr>
                <w:rFonts w:eastAsia="Times New Roman" w:cstheme="minorHAnsi"/>
                <w:color w:val="000000"/>
              </w:rPr>
              <w:t>Cannot be used in patients who have not been tested for G6PD deficiency: there are costs and delays associated with getting a G6PD test; however, it only has to be done once. Once a normal G6PD level is verified and documented, the test does not have to be repeated the next time primaquine is considered.</w:t>
            </w:r>
          </w:p>
          <w:p w:rsidR="00D5332B" w:rsidRPr="009B0D49" w:rsidRDefault="00D5332B" w:rsidP="00D5332B">
            <w:pPr>
              <w:spacing w:before="100" w:beforeAutospacing="1" w:after="100" w:afterAutospacing="1" w:line="270" w:lineRule="atLeast"/>
              <w:rPr>
                <w:rFonts w:eastAsia="Times New Roman" w:cstheme="minorHAnsi"/>
                <w:color w:val="000000"/>
              </w:rPr>
            </w:pPr>
          </w:p>
        </w:tc>
      </w:tr>
    </w:tbl>
    <w:p w:rsidR="000D2340" w:rsidRPr="009B0D49" w:rsidRDefault="000D2340" w:rsidP="007C2D6F">
      <w:pPr>
        <w:rPr>
          <w:rFonts w:cstheme="minorHAnsi"/>
          <w:b/>
        </w:rPr>
      </w:pPr>
    </w:p>
    <w:p w:rsidR="007C5122" w:rsidRPr="009B0D49" w:rsidRDefault="007C5122" w:rsidP="007C2D6F">
      <w:pPr>
        <w:rPr>
          <w:rFonts w:cstheme="minorHAnsi"/>
          <w:b/>
        </w:rPr>
      </w:pPr>
    </w:p>
    <w:p w:rsidR="007558F3" w:rsidRPr="009B0D49" w:rsidRDefault="007558F3" w:rsidP="007C2D6F">
      <w:pPr>
        <w:rPr>
          <w:rFonts w:cstheme="minorHAnsi"/>
          <w:b/>
        </w:rPr>
      </w:pPr>
    </w:p>
    <w:p w:rsidR="007558F3" w:rsidRPr="009B0D49" w:rsidRDefault="007558F3" w:rsidP="007C2D6F">
      <w:pPr>
        <w:rPr>
          <w:rFonts w:cstheme="minorHAnsi"/>
          <w:b/>
        </w:rPr>
      </w:pPr>
    </w:p>
    <w:p w:rsidR="007558F3" w:rsidRPr="009B0D49" w:rsidRDefault="007558F3" w:rsidP="007C2D6F">
      <w:pPr>
        <w:rPr>
          <w:rFonts w:cstheme="minorHAnsi"/>
          <w:b/>
        </w:rPr>
      </w:pPr>
    </w:p>
    <w:p w:rsidR="007558F3" w:rsidRPr="009B0D49" w:rsidRDefault="007558F3" w:rsidP="007C2D6F">
      <w:pPr>
        <w:rPr>
          <w:rFonts w:cstheme="minorHAnsi"/>
          <w:b/>
        </w:rPr>
      </w:pPr>
    </w:p>
    <w:p w:rsidR="007558F3" w:rsidRPr="009B0D49" w:rsidRDefault="007558F3" w:rsidP="007C2D6F">
      <w:pPr>
        <w:rPr>
          <w:rFonts w:cstheme="minorHAnsi"/>
          <w:b/>
        </w:rPr>
      </w:pPr>
    </w:p>
    <w:p w:rsidR="007C5122" w:rsidRPr="009B0D49" w:rsidRDefault="007C5122" w:rsidP="007C2D6F">
      <w:pPr>
        <w:rPr>
          <w:rFonts w:cstheme="minorHAnsi"/>
          <w:b/>
        </w:rPr>
      </w:pPr>
      <w:r w:rsidRPr="009B0D49">
        <w:rPr>
          <w:rFonts w:cstheme="minorHAnsi"/>
          <w:b/>
        </w:rPr>
        <w:t>The following table lists the drugs use</w:t>
      </w:r>
      <w:r w:rsidR="00A3629B" w:rsidRPr="009B0D49">
        <w:rPr>
          <w:rFonts w:cstheme="minorHAnsi"/>
          <w:b/>
        </w:rPr>
        <w:t xml:space="preserve">d for malaria chemoprophylaxis (adapted from the CDC) </w:t>
      </w:r>
      <w:r w:rsidRPr="009B0D49">
        <w:rPr>
          <w:rFonts w:cstheme="minorHAnsi"/>
          <w:b/>
        </w:rPr>
        <w:t xml:space="preserve"> </w:t>
      </w:r>
    </w:p>
    <w:tbl>
      <w:tblPr>
        <w:tblStyle w:val="TableGrid"/>
        <w:tblW w:w="12963" w:type="dxa"/>
        <w:tblLook w:val="04A0" w:firstRow="1" w:lastRow="0" w:firstColumn="1" w:lastColumn="0" w:noHBand="0" w:noVBand="1"/>
      </w:tblPr>
      <w:tblGrid>
        <w:gridCol w:w="3083"/>
        <w:gridCol w:w="3258"/>
        <w:gridCol w:w="3406"/>
        <w:gridCol w:w="3216"/>
      </w:tblGrid>
      <w:tr w:rsidR="00A3629B" w:rsidRPr="009B0D49" w:rsidTr="00A3629B">
        <w:trPr>
          <w:trHeight w:val="737"/>
        </w:trPr>
        <w:tc>
          <w:tcPr>
            <w:tcW w:w="0" w:type="auto"/>
            <w:hideMark/>
          </w:tcPr>
          <w:p w:rsidR="00A3629B" w:rsidRPr="009B0D49" w:rsidRDefault="00A3629B" w:rsidP="000E251C">
            <w:pPr>
              <w:jc w:val="center"/>
              <w:rPr>
                <w:rFonts w:eastAsia="Times New Roman" w:cstheme="minorHAnsi"/>
                <w:b/>
                <w:bCs/>
                <w:color w:val="F37223"/>
              </w:rPr>
            </w:pPr>
            <w:r w:rsidRPr="009B0D49">
              <w:rPr>
                <w:rFonts w:eastAsia="Times New Roman" w:cstheme="minorHAnsi"/>
                <w:b/>
                <w:bCs/>
                <w:color w:val="F37223"/>
              </w:rPr>
              <w:t>DRUG</w:t>
            </w:r>
          </w:p>
        </w:tc>
        <w:tc>
          <w:tcPr>
            <w:tcW w:w="0" w:type="auto"/>
            <w:hideMark/>
          </w:tcPr>
          <w:p w:rsidR="00A3629B" w:rsidRPr="009B0D49" w:rsidRDefault="00A3629B" w:rsidP="000E251C">
            <w:pPr>
              <w:jc w:val="center"/>
              <w:rPr>
                <w:rFonts w:eastAsia="Times New Roman" w:cstheme="minorHAnsi"/>
                <w:b/>
                <w:bCs/>
                <w:color w:val="F37223"/>
              </w:rPr>
            </w:pPr>
            <w:r w:rsidRPr="009B0D49">
              <w:rPr>
                <w:rFonts w:eastAsia="Times New Roman" w:cstheme="minorHAnsi"/>
                <w:b/>
                <w:bCs/>
                <w:color w:val="F37223"/>
              </w:rPr>
              <w:t>ADULT DOSE</w:t>
            </w:r>
          </w:p>
        </w:tc>
        <w:tc>
          <w:tcPr>
            <w:tcW w:w="0" w:type="auto"/>
            <w:hideMark/>
          </w:tcPr>
          <w:p w:rsidR="00A3629B" w:rsidRPr="009B0D49" w:rsidRDefault="00A3629B" w:rsidP="000E251C">
            <w:pPr>
              <w:jc w:val="center"/>
              <w:rPr>
                <w:rFonts w:eastAsia="Times New Roman" w:cstheme="minorHAnsi"/>
                <w:b/>
                <w:bCs/>
                <w:color w:val="F37223"/>
              </w:rPr>
            </w:pPr>
            <w:r w:rsidRPr="009B0D49">
              <w:rPr>
                <w:rFonts w:eastAsia="Times New Roman" w:cstheme="minorHAnsi"/>
                <w:b/>
                <w:bCs/>
                <w:color w:val="F37223"/>
              </w:rPr>
              <w:t>PEDIATRIC DOSE</w:t>
            </w:r>
          </w:p>
        </w:tc>
        <w:tc>
          <w:tcPr>
            <w:tcW w:w="0" w:type="auto"/>
            <w:hideMark/>
          </w:tcPr>
          <w:p w:rsidR="00A3629B" w:rsidRPr="009B0D49" w:rsidRDefault="00A3629B" w:rsidP="000E251C">
            <w:pPr>
              <w:jc w:val="center"/>
              <w:rPr>
                <w:rFonts w:eastAsia="Times New Roman" w:cstheme="minorHAnsi"/>
                <w:b/>
                <w:bCs/>
                <w:color w:val="F37223"/>
              </w:rPr>
            </w:pPr>
            <w:r w:rsidRPr="009B0D49">
              <w:rPr>
                <w:rFonts w:eastAsia="Times New Roman" w:cstheme="minorHAnsi"/>
                <w:b/>
                <w:bCs/>
                <w:color w:val="F37223"/>
              </w:rPr>
              <w:t>COMMENTS</w:t>
            </w:r>
          </w:p>
        </w:tc>
      </w:tr>
      <w:tr w:rsidR="00A3629B" w:rsidRPr="009B0D49" w:rsidTr="00A3629B">
        <w:trPr>
          <w:trHeight w:val="737"/>
        </w:trPr>
        <w:tc>
          <w:tcPr>
            <w:tcW w:w="0" w:type="auto"/>
          </w:tcPr>
          <w:p w:rsidR="00A3629B" w:rsidRPr="009B0D49" w:rsidRDefault="00A3629B" w:rsidP="000E251C">
            <w:pPr>
              <w:rPr>
                <w:rFonts w:eastAsia="Times New Roman" w:cstheme="minorHAnsi"/>
                <w:b/>
                <w:color w:val="000000"/>
              </w:rPr>
            </w:pPr>
            <w:r w:rsidRPr="009B0D49">
              <w:rPr>
                <w:rFonts w:eastAsia="Times New Roman" w:cstheme="minorHAnsi"/>
                <w:b/>
                <w:color w:val="000000"/>
              </w:rPr>
              <w:t>Atovaquone-proguanil</w:t>
            </w:r>
          </w:p>
        </w:tc>
        <w:tc>
          <w:tcPr>
            <w:tcW w:w="0" w:type="auto"/>
          </w:tcPr>
          <w:p w:rsidR="00A3629B" w:rsidRPr="009B0D49" w:rsidRDefault="00A3629B" w:rsidP="000E251C">
            <w:pPr>
              <w:rPr>
                <w:rFonts w:eastAsia="Times New Roman" w:cstheme="minorHAnsi"/>
                <w:color w:val="000000"/>
              </w:rPr>
            </w:pPr>
            <w:r w:rsidRPr="009B0D49">
              <w:rPr>
                <w:rFonts w:eastAsia="Times New Roman" w:cstheme="minorHAnsi"/>
                <w:color w:val="000000"/>
              </w:rPr>
              <w:t>Adult tablets contain 250 mg atovaquone and 100 mg proguanil hydrochloride. 1 adult tablet orally, daily</w:t>
            </w:r>
          </w:p>
        </w:tc>
        <w:tc>
          <w:tcPr>
            <w:tcW w:w="0" w:type="auto"/>
          </w:tcPr>
          <w:p w:rsidR="00A3629B" w:rsidRPr="009B0D49" w:rsidRDefault="00A3629B" w:rsidP="000E251C">
            <w:pPr>
              <w:rPr>
                <w:rFonts w:eastAsia="Times New Roman" w:cstheme="minorHAnsi"/>
                <w:color w:val="000000"/>
              </w:rPr>
            </w:pPr>
            <w:r w:rsidRPr="009B0D49">
              <w:rPr>
                <w:rFonts w:eastAsia="Times New Roman" w:cstheme="minorHAnsi"/>
                <w:color w:val="000000"/>
              </w:rPr>
              <w:t>Pediatric tablets contain 62.5 mg atovaquone and 25 mg proguanil hydrochloride.</w:t>
            </w:r>
            <w:r w:rsidRPr="009B0D49">
              <w:rPr>
                <w:rFonts w:eastAsia="Times New Roman" w:cstheme="minorHAnsi"/>
                <w:color w:val="000000"/>
              </w:rPr>
              <w:br/>
            </w:r>
            <w:r w:rsidRPr="009B0D49">
              <w:rPr>
                <w:rFonts w:eastAsia="Times New Roman" w:cstheme="minorHAnsi"/>
                <w:color w:val="000000"/>
              </w:rPr>
              <w:br/>
              <w:t>5–8 kg: 1/2 pediatric tablet daily</w:t>
            </w:r>
            <w:r w:rsidRPr="009B0D49">
              <w:rPr>
                <w:rFonts w:eastAsia="Times New Roman" w:cstheme="minorHAnsi"/>
                <w:color w:val="000000"/>
              </w:rPr>
              <w:br/>
            </w:r>
            <w:r w:rsidRPr="009B0D49">
              <w:rPr>
                <w:rFonts w:eastAsia="Times New Roman" w:cstheme="minorHAnsi"/>
                <w:color w:val="000000"/>
              </w:rPr>
              <w:br/>
              <w:t>&gt;8–10 kg: 3/4 pediatric tablet daily</w:t>
            </w:r>
            <w:r w:rsidRPr="009B0D49">
              <w:rPr>
                <w:rFonts w:eastAsia="Times New Roman" w:cstheme="minorHAnsi"/>
                <w:color w:val="000000"/>
              </w:rPr>
              <w:br/>
            </w:r>
            <w:r w:rsidRPr="009B0D49">
              <w:rPr>
                <w:rFonts w:eastAsia="Times New Roman" w:cstheme="minorHAnsi"/>
                <w:color w:val="000000"/>
              </w:rPr>
              <w:br/>
              <w:t>&gt;10–20 kg: 1 pediatric tablet daily</w:t>
            </w:r>
            <w:r w:rsidRPr="009B0D49">
              <w:rPr>
                <w:rFonts w:eastAsia="Times New Roman" w:cstheme="minorHAnsi"/>
                <w:color w:val="000000"/>
              </w:rPr>
              <w:br/>
            </w:r>
            <w:r w:rsidRPr="009B0D49">
              <w:rPr>
                <w:rFonts w:eastAsia="Times New Roman" w:cstheme="minorHAnsi"/>
                <w:color w:val="000000"/>
              </w:rPr>
              <w:lastRenderedPageBreak/>
              <w:br/>
              <w:t>&gt;20–30 kg: 2 pediatric tablets daily</w:t>
            </w:r>
            <w:r w:rsidRPr="009B0D49">
              <w:rPr>
                <w:rFonts w:eastAsia="Times New Roman" w:cstheme="minorHAnsi"/>
                <w:color w:val="000000"/>
              </w:rPr>
              <w:br/>
            </w:r>
            <w:r w:rsidRPr="009B0D49">
              <w:rPr>
                <w:rFonts w:eastAsia="Times New Roman" w:cstheme="minorHAnsi"/>
                <w:color w:val="000000"/>
              </w:rPr>
              <w:br/>
              <w:t>&gt;30–40 kg: 3 pediatric tablets daily</w:t>
            </w:r>
            <w:r w:rsidRPr="009B0D49">
              <w:rPr>
                <w:rFonts w:eastAsia="Times New Roman" w:cstheme="minorHAnsi"/>
                <w:color w:val="000000"/>
              </w:rPr>
              <w:br/>
            </w:r>
            <w:r w:rsidRPr="009B0D49">
              <w:rPr>
                <w:rFonts w:eastAsia="Times New Roman" w:cstheme="minorHAnsi"/>
                <w:color w:val="000000"/>
              </w:rPr>
              <w:br/>
              <w:t>&gt;40 kg: 1 adult tablet daily</w:t>
            </w:r>
          </w:p>
        </w:tc>
        <w:tc>
          <w:tcPr>
            <w:tcW w:w="0" w:type="auto"/>
          </w:tcPr>
          <w:p w:rsidR="00A3629B" w:rsidRPr="009B0D49" w:rsidRDefault="00A3629B" w:rsidP="000E251C">
            <w:pPr>
              <w:rPr>
                <w:rFonts w:eastAsia="Times New Roman" w:cstheme="minorHAnsi"/>
                <w:color w:val="000000"/>
              </w:rPr>
            </w:pPr>
            <w:r w:rsidRPr="009B0D49">
              <w:rPr>
                <w:rFonts w:eastAsia="Times New Roman" w:cstheme="minorHAnsi"/>
                <w:color w:val="000000"/>
              </w:rPr>
              <w:lastRenderedPageBreak/>
              <w:t xml:space="preserve">Begin 1–2 days before travel to </w:t>
            </w:r>
            <w:proofErr w:type="spellStart"/>
            <w:r w:rsidRPr="009B0D49">
              <w:rPr>
                <w:rFonts w:eastAsia="Times New Roman" w:cstheme="minorHAnsi"/>
                <w:color w:val="000000"/>
              </w:rPr>
              <w:t>malarious</w:t>
            </w:r>
            <w:proofErr w:type="spellEnd"/>
            <w:r w:rsidRPr="009B0D49">
              <w:rPr>
                <w:rFonts w:eastAsia="Times New Roman" w:cstheme="minorHAnsi"/>
                <w:color w:val="000000"/>
              </w:rPr>
              <w:t xml:space="preserve"> areas. </w:t>
            </w:r>
          </w:p>
          <w:p w:rsidR="00A3629B" w:rsidRPr="009B0D49" w:rsidRDefault="00A3629B" w:rsidP="000E251C">
            <w:pPr>
              <w:rPr>
                <w:rFonts w:eastAsia="Times New Roman" w:cstheme="minorHAnsi"/>
                <w:color w:val="000000"/>
              </w:rPr>
            </w:pPr>
          </w:p>
          <w:p w:rsidR="00A3629B" w:rsidRPr="009B0D49" w:rsidRDefault="00A3629B" w:rsidP="000E251C">
            <w:pPr>
              <w:rPr>
                <w:rFonts w:eastAsia="Times New Roman" w:cstheme="minorHAnsi"/>
                <w:color w:val="000000"/>
              </w:rPr>
            </w:pPr>
            <w:r w:rsidRPr="009B0D49">
              <w:rPr>
                <w:rFonts w:eastAsia="Times New Roman" w:cstheme="minorHAnsi"/>
                <w:color w:val="000000"/>
              </w:rPr>
              <w:t xml:space="preserve">Take daily at the same time each day while in the </w:t>
            </w:r>
            <w:proofErr w:type="spellStart"/>
            <w:r w:rsidRPr="009B0D49">
              <w:rPr>
                <w:rFonts w:eastAsia="Times New Roman" w:cstheme="minorHAnsi"/>
                <w:color w:val="000000"/>
              </w:rPr>
              <w:t>malarious</w:t>
            </w:r>
            <w:proofErr w:type="spellEnd"/>
            <w:r w:rsidRPr="009B0D49">
              <w:rPr>
                <w:rFonts w:eastAsia="Times New Roman" w:cstheme="minorHAnsi"/>
                <w:color w:val="000000"/>
              </w:rPr>
              <w:t xml:space="preserve"> area and for 7 days after leaving such areas.</w:t>
            </w:r>
          </w:p>
          <w:p w:rsidR="00A3629B" w:rsidRPr="009B0D49" w:rsidRDefault="00A3629B" w:rsidP="000E251C">
            <w:pPr>
              <w:rPr>
                <w:rFonts w:eastAsia="Times New Roman" w:cstheme="minorHAnsi"/>
                <w:color w:val="000000"/>
              </w:rPr>
            </w:pPr>
          </w:p>
          <w:p w:rsidR="00A3629B" w:rsidRPr="009B0D49" w:rsidRDefault="00A3629B" w:rsidP="000E251C">
            <w:pPr>
              <w:rPr>
                <w:rFonts w:eastAsia="Times New Roman" w:cstheme="minorHAnsi"/>
                <w:color w:val="000000"/>
              </w:rPr>
            </w:pPr>
            <w:r w:rsidRPr="009B0D49">
              <w:rPr>
                <w:rFonts w:cstheme="minorHAnsi"/>
                <w:b/>
              </w:rPr>
              <w:lastRenderedPageBreak/>
              <w:t>Should be taken with food or a milky drink.</w:t>
            </w:r>
          </w:p>
        </w:tc>
      </w:tr>
      <w:tr w:rsidR="00A3629B" w:rsidRPr="009B0D49" w:rsidTr="00A3629B">
        <w:trPr>
          <w:trHeight w:val="1547"/>
        </w:trPr>
        <w:tc>
          <w:tcPr>
            <w:tcW w:w="0" w:type="auto"/>
            <w:hideMark/>
          </w:tcPr>
          <w:p w:rsidR="00A3629B" w:rsidRPr="009B0D49" w:rsidRDefault="00A3629B" w:rsidP="007C5122">
            <w:pPr>
              <w:rPr>
                <w:rFonts w:eastAsia="Times New Roman" w:cstheme="minorHAnsi"/>
                <w:b/>
                <w:color w:val="000000"/>
              </w:rPr>
            </w:pPr>
            <w:r w:rsidRPr="009B0D49">
              <w:rPr>
                <w:rFonts w:eastAsia="Times New Roman" w:cstheme="minorHAnsi"/>
                <w:b/>
                <w:color w:val="000000"/>
              </w:rPr>
              <w:lastRenderedPageBreak/>
              <w:t>Chloroquine phosphate</w:t>
            </w:r>
          </w:p>
        </w:tc>
        <w:tc>
          <w:tcPr>
            <w:tcW w:w="0" w:type="auto"/>
            <w:hideMark/>
          </w:tcPr>
          <w:p w:rsidR="00A3629B" w:rsidRPr="009B0D49" w:rsidRDefault="00A3629B" w:rsidP="007C5122">
            <w:pPr>
              <w:rPr>
                <w:rFonts w:eastAsia="Times New Roman" w:cstheme="minorHAnsi"/>
                <w:color w:val="000000"/>
              </w:rPr>
            </w:pPr>
            <w:r w:rsidRPr="009B0D49">
              <w:rPr>
                <w:rFonts w:eastAsia="Times New Roman" w:cstheme="minorHAnsi"/>
                <w:color w:val="000000"/>
              </w:rPr>
              <w:t>300 mg base (500 mg salt) orally, once/week</w:t>
            </w:r>
          </w:p>
        </w:tc>
        <w:tc>
          <w:tcPr>
            <w:tcW w:w="0" w:type="auto"/>
            <w:hideMark/>
          </w:tcPr>
          <w:p w:rsidR="00A3629B" w:rsidRPr="009B0D49" w:rsidRDefault="00A3629B" w:rsidP="007C5122">
            <w:pPr>
              <w:rPr>
                <w:rFonts w:eastAsia="Times New Roman" w:cstheme="minorHAnsi"/>
                <w:color w:val="000000"/>
              </w:rPr>
            </w:pPr>
            <w:r w:rsidRPr="009B0D49">
              <w:rPr>
                <w:rFonts w:eastAsia="Times New Roman" w:cstheme="minorHAnsi"/>
                <w:color w:val="000000"/>
              </w:rPr>
              <w:t>5 mg/kg base (8.3 mg/kg salt) orally, once/week, up to maximum adult dose of 300 mg base</w:t>
            </w:r>
          </w:p>
        </w:tc>
        <w:tc>
          <w:tcPr>
            <w:tcW w:w="0" w:type="auto"/>
            <w:hideMark/>
          </w:tcPr>
          <w:p w:rsidR="00A3629B" w:rsidRPr="009B0D49" w:rsidRDefault="00A3629B" w:rsidP="007C5122">
            <w:pPr>
              <w:rPr>
                <w:rFonts w:eastAsia="Times New Roman" w:cstheme="minorHAnsi"/>
                <w:color w:val="000000"/>
              </w:rPr>
            </w:pPr>
            <w:r w:rsidRPr="009B0D49">
              <w:rPr>
                <w:rFonts w:eastAsia="Times New Roman" w:cstheme="minorHAnsi"/>
                <w:color w:val="000000"/>
              </w:rPr>
              <w:t xml:space="preserve">Begin 1–2 weeks before travel to </w:t>
            </w:r>
            <w:proofErr w:type="spellStart"/>
            <w:r w:rsidRPr="009B0D49">
              <w:rPr>
                <w:rFonts w:eastAsia="Times New Roman" w:cstheme="minorHAnsi"/>
                <w:color w:val="000000"/>
              </w:rPr>
              <w:t>malarious</w:t>
            </w:r>
            <w:proofErr w:type="spellEnd"/>
            <w:r w:rsidRPr="009B0D49">
              <w:rPr>
                <w:rFonts w:eastAsia="Times New Roman" w:cstheme="minorHAnsi"/>
                <w:color w:val="000000"/>
              </w:rPr>
              <w:t xml:space="preserve"> areas. </w:t>
            </w:r>
          </w:p>
          <w:p w:rsidR="00A3629B" w:rsidRPr="009B0D49" w:rsidRDefault="00A3629B" w:rsidP="007C5122">
            <w:pPr>
              <w:rPr>
                <w:rFonts w:eastAsia="Times New Roman" w:cstheme="minorHAnsi"/>
                <w:color w:val="000000"/>
              </w:rPr>
            </w:pPr>
            <w:r w:rsidRPr="009B0D49">
              <w:rPr>
                <w:rFonts w:eastAsia="Times New Roman" w:cstheme="minorHAnsi"/>
                <w:color w:val="000000"/>
              </w:rPr>
              <w:t xml:space="preserve">Take weekly on the same day of the week while in the </w:t>
            </w:r>
            <w:proofErr w:type="spellStart"/>
            <w:r w:rsidRPr="009B0D49">
              <w:rPr>
                <w:rFonts w:eastAsia="Times New Roman" w:cstheme="minorHAnsi"/>
                <w:color w:val="000000"/>
              </w:rPr>
              <w:t>malarious</w:t>
            </w:r>
            <w:proofErr w:type="spellEnd"/>
            <w:r w:rsidRPr="009B0D49">
              <w:rPr>
                <w:rFonts w:eastAsia="Times New Roman" w:cstheme="minorHAnsi"/>
                <w:color w:val="000000"/>
              </w:rPr>
              <w:t xml:space="preserve"> area and for 4 weeks after leaving such areas.</w:t>
            </w:r>
          </w:p>
        </w:tc>
      </w:tr>
      <w:tr w:rsidR="00A3629B" w:rsidRPr="009B0D49" w:rsidTr="00A3629B">
        <w:trPr>
          <w:trHeight w:val="1610"/>
        </w:trPr>
        <w:tc>
          <w:tcPr>
            <w:tcW w:w="0" w:type="auto"/>
            <w:hideMark/>
          </w:tcPr>
          <w:p w:rsidR="00A3629B" w:rsidRPr="009B0D49" w:rsidRDefault="00A3629B" w:rsidP="007C5122">
            <w:pPr>
              <w:rPr>
                <w:rFonts w:eastAsia="Times New Roman" w:cstheme="minorHAnsi"/>
                <w:b/>
                <w:color w:val="000000"/>
              </w:rPr>
            </w:pPr>
            <w:r w:rsidRPr="009B0D49">
              <w:rPr>
                <w:rFonts w:eastAsia="Times New Roman" w:cstheme="minorHAnsi"/>
                <w:b/>
                <w:color w:val="000000"/>
              </w:rPr>
              <w:t>Doxycycline</w:t>
            </w:r>
          </w:p>
        </w:tc>
        <w:tc>
          <w:tcPr>
            <w:tcW w:w="0" w:type="auto"/>
            <w:hideMark/>
          </w:tcPr>
          <w:p w:rsidR="00A3629B" w:rsidRPr="009B0D49" w:rsidRDefault="00A3629B" w:rsidP="007C5122">
            <w:pPr>
              <w:rPr>
                <w:rFonts w:eastAsia="Times New Roman" w:cstheme="minorHAnsi"/>
                <w:color w:val="000000"/>
              </w:rPr>
            </w:pPr>
            <w:r w:rsidRPr="009B0D49">
              <w:rPr>
                <w:rFonts w:eastAsia="Times New Roman" w:cstheme="minorHAnsi"/>
                <w:color w:val="000000"/>
              </w:rPr>
              <w:t>100 mg orally, daily</w:t>
            </w:r>
          </w:p>
        </w:tc>
        <w:tc>
          <w:tcPr>
            <w:tcW w:w="0" w:type="auto"/>
            <w:hideMark/>
          </w:tcPr>
          <w:p w:rsidR="00A3629B" w:rsidRPr="009B0D49" w:rsidRDefault="00A3629B" w:rsidP="007C5122">
            <w:pPr>
              <w:rPr>
                <w:rFonts w:eastAsia="Times New Roman" w:cstheme="minorHAnsi"/>
                <w:color w:val="000000"/>
              </w:rPr>
            </w:pPr>
            <w:r w:rsidRPr="009B0D49">
              <w:rPr>
                <w:rFonts w:eastAsia="Times New Roman" w:cstheme="minorHAnsi"/>
                <w:color w:val="000000"/>
              </w:rPr>
              <w:t>≥8 years of age: 2.2 mg/kg up to adult dose of 100 mg/day</w:t>
            </w:r>
          </w:p>
        </w:tc>
        <w:tc>
          <w:tcPr>
            <w:tcW w:w="0" w:type="auto"/>
            <w:hideMark/>
          </w:tcPr>
          <w:p w:rsidR="00A3629B" w:rsidRPr="009B0D49" w:rsidRDefault="00A3629B" w:rsidP="007C5122">
            <w:pPr>
              <w:rPr>
                <w:rFonts w:eastAsia="Times New Roman" w:cstheme="minorHAnsi"/>
                <w:color w:val="000000"/>
              </w:rPr>
            </w:pPr>
            <w:r w:rsidRPr="009B0D49">
              <w:rPr>
                <w:rFonts w:eastAsia="Times New Roman" w:cstheme="minorHAnsi"/>
                <w:color w:val="000000"/>
              </w:rPr>
              <w:t xml:space="preserve">Begin 1–2 days before travel to </w:t>
            </w:r>
            <w:proofErr w:type="spellStart"/>
            <w:r w:rsidRPr="009B0D49">
              <w:rPr>
                <w:rFonts w:eastAsia="Times New Roman" w:cstheme="minorHAnsi"/>
                <w:color w:val="000000"/>
              </w:rPr>
              <w:t>malarious</w:t>
            </w:r>
            <w:proofErr w:type="spellEnd"/>
            <w:r w:rsidRPr="009B0D49">
              <w:rPr>
                <w:rFonts w:eastAsia="Times New Roman" w:cstheme="minorHAnsi"/>
                <w:color w:val="000000"/>
              </w:rPr>
              <w:t xml:space="preserve"> areas. </w:t>
            </w:r>
          </w:p>
          <w:p w:rsidR="00A3629B" w:rsidRPr="009B0D49" w:rsidRDefault="00A3629B" w:rsidP="007C5122">
            <w:pPr>
              <w:rPr>
                <w:rFonts w:eastAsia="Times New Roman" w:cstheme="minorHAnsi"/>
                <w:color w:val="000000"/>
              </w:rPr>
            </w:pPr>
            <w:r w:rsidRPr="009B0D49">
              <w:rPr>
                <w:rFonts w:eastAsia="Times New Roman" w:cstheme="minorHAnsi"/>
                <w:color w:val="000000"/>
              </w:rPr>
              <w:t xml:space="preserve">Take daily at the same time each day while in the </w:t>
            </w:r>
            <w:proofErr w:type="spellStart"/>
            <w:r w:rsidRPr="009B0D49">
              <w:rPr>
                <w:rFonts w:eastAsia="Times New Roman" w:cstheme="minorHAnsi"/>
                <w:color w:val="000000"/>
              </w:rPr>
              <w:t>malarious</w:t>
            </w:r>
            <w:proofErr w:type="spellEnd"/>
            <w:r w:rsidRPr="009B0D49">
              <w:rPr>
                <w:rFonts w:eastAsia="Times New Roman" w:cstheme="minorHAnsi"/>
                <w:color w:val="000000"/>
              </w:rPr>
              <w:t xml:space="preserve"> area and for 4 weeks after leaving such areas. </w:t>
            </w:r>
          </w:p>
        </w:tc>
      </w:tr>
      <w:tr w:rsidR="00A3629B" w:rsidRPr="009B0D49" w:rsidTr="00A3629B">
        <w:trPr>
          <w:trHeight w:val="1520"/>
        </w:trPr>
        <w:tc>
          <w:tcPr>
            <w:tcW w:w="0" w:type="auto"/>
            <w:hideMark/>
          </w:tcPr>
          <w:p w:rsidR="00A3629B" w:rsidRPr="009B0D49" w:rsidRDefault="00A3629B" w:rsidP="007C5122">
            <w:pPr>
              <w:rPr>
                <w:rFonts w:eastAsia="Times New Roman" w:cstheme="minorHAnsi"/>
                <w:b/>
                <w:color w:val="000000"/>
              </w:rPr>
            </w:pPr>
            <w:r w:rsidRPr="009B0D49">
              <w:rPr>
                <w:rFonts w:eastAsia="Times New Roman" w:cstheme="minorHAnsi"/>
                <w:b/>
                <w:color w:val="000000"/>
              </w:rPr>
              <w:t>Hydroxychloroquine sulfate</w:t>
            </w:r>
          </w:p>
          <w:p w:rsidR="00A3629B" w:rsidRPr="009B0D49" w:rsidRDefault="00A3629B" w:rsidP="007C5122">
            <w:pPr>
              <w:rPr>
                <w:rFonts w:eastAsia="Times New Roman" w:cstheme="minorHAnsi"/>
                <w:color w:val="000000"/>
              </w:rPr>
            </w:pPr>
            <w:r w:rsidRPr="009B0D49">
              <w:rPr>
                <w:rFonts w:eastAsia="Times New Roman" w:cstheme="minorHAnsi"/>
                <w:color w:val="000000"/>
              </w:rPr>
              <w:t>(chloroquine alternative only in areas with chloroquine-sensitive malaria)</w:t>
            </w:r>
          </w:p>
        </w:tc>
        <w:tc>
          <w:tcPr>
            <w:tcW w:w="0" w:type="auto"/>
            <w:hideMark/>
          </w:tcPr>
          <w:p w:rsidR="00A3629B" w:rsidRPr="009B0D49" w:rsidRDefault="00A3629B" w:rsidP="007C5122">
            <w:pPr>
              <w:rPr>
                <w:rFonts w:eastAsia="Times New Roman" w:cstheme="minorHAnsi"/>
                <w:color w:val="000000"/>
              </w:rPr>
            </w:pPr>
            <w:r w:rsidRPr="009B0D49">
              <w:rPr>
                <w:rFonts w:eastAsia="Times New Roman" w:cstheme="minorHAnsi"/>
                <w:color w:val="000000"/>
              </w:rPr>
              <w:t>310 mg base (400 mg salt) orally, once/week</w:t>
            </w:r>
          </w:p>
        </w:tc>
        <w:tc>
          <w:tcPr>
            <w:tcW w:w="0" w:type="auto"/>
            <w:hideMark/>
          </w:tcPr>
          <w:p w:rsidR="00A3629B" w:rsidRPr="009B0D49" w:rsidRDefault="00A3629B" w:rsidP="007C5122">
            <w:pPr>
              <w:rPr>
                <w:rFonts w:eastAsia="Times New Roman" w:cstheme="minorHAnsi"/>
                <w:color w:val="000000"/>
              </w:rPr>
            </w:pPr>
            <w:r w:rsidRPr="009B0D49">
              <w:rPr>
                <w:rFonts w:eastAsia="Times New Roman" w:cstheme="minorHAnsi"/>
                <w:color w:val="000000"/>
              </w:rPr>
              <w:t>5 mg/kg base (6.5 mg/kg salt) orally, once/week, up to a maximum adult dose of 310 mg base</w:t>
            </w:r>
          </w:p>
        </w:tc>
        <w:tc>
          <w:tcPr>
            <w:tcW w:w="0" w:type="auto"/>
            <w:hideMark/>
          </w:tcPr>
          <w:p w:rsidR="00A3629B" w:rsidRPr="009B0D49" w:rsidRDefault="00A3629B" w:rsidP="007C5122">
            <w:pPr>
              <w:rPr>
                <w:rFonts w:eastAsia="Times New Roman" w:cstheme="minorHAnsi"/>
                <w:color w:val="000000"/>
              </w:rPr>
            </w:pPr>
            <w:r w:rsidRPr="009B0D49">
              <w:rPr>
                <w:rFonts w:eastAsia="Times New Roman" w:cstheme="minorHAnsi"/>
                <w:color w:val="000000"/>
              </w:rPr>
              <w:t xml:space="preserve">Begin 1–2 weeks before travel to </w:t>
            </w:r>
            <w:proofErr w:type="spellStart"/>
            <w:r w:rsidRPr="009B0D49">
              <w:rPr>
                <w:rFonts w:eastAsia="Times New Roman" w:cstheme="minorHAnsi"/>
                <w:color w:val="000000"/>
              </w:rPr>
              <w:t>malarious</w:t>
            </w:r>
            <w:proofErr w:type="spellEnd"/>
            <w:r w:rsidRPr="009B0D49">
              <w:rPr>
                <w:rFonts w:eastAsia="Times New Roman" w:cstheme="minorHAnsi"/>
                <w:color w:val="000000"/>
              </w:rPr>
              <w:t xml:space="preserve"> areas. </w:t>
            </w:r>
          </w:p>
          <w:p w:rsidR="00A3629B" w:rsidRPr="009B0D49" w:rsidRDefault="00A3629B" w:rsidP="007C5122">
            <w:pPr>
              <w:rPr>
                <w:rFonts w:eastAsia="Times New Roman" w:cstheme="minorHAnsi"/>
                <w:color w:val="000000"/>
              </w:rPr>
            </w:pPr>
            <w:r w:rsidRPr="009B0D49">
              <w:rPr>
                <w:rFonts w:eastAsia="Times New Roman" w:cstheme="minorHAnsi"/>
                <w:color w:val="000000"/>
              </w:rPr>
              <w:t xml:space="preserve">Take weekly on the same day of the week while in the </w:t>
            </w:r>
            <w:proofErr w:type="spellStart"/>
            <w:r w:rsidRPr="009B0D49">
              <w:rPr>
                <w:rFonts w:eastAsia="Times New Roman" w:cstheme="minorHAnsi"/>
                <w:color w:val="000000"/>
              </w:rPr>
              <w:t>malarious</w:t>
            </w:r>
            <w:proofErr w:type="spellEnd"/>
            <w:r w:rsidRPr="009B0D49">
              <w:rPr>
                <w:rFonts w:eastAsia="Times New Roman" w:cstheme="minorHAnsi"/>
                <w:color w:val="000000"/>
              </w:rPr>
              <w:t xml:space="preserve"> area and for 4 weeks after leaving such areas</w:t>
            </w:r>
          </w:p>
        </w:tc>
      </w:tr>
      <w:tr w:rsidR="00A3629B" w:rsidRPr="009B0D49" w:rsidTr="00A3629B">
        <w:trPr>
          <w:trHeight w:val="2510"/>
        </w:trPr>
        <w:tc>
          <w:tcPr>
            <w:tcW w:w="0" w:type="auto"/>
            <w:hideMark/>
          </w:tcPr>
          <w:p w:rsidR="00A3629B" w:rsidRPr="009B0D49" w:rsidRDefault="00A3629B" w:rsidP="007C5122">
            <w:pPr>
              <w:rPr>
                <w:rFonts w:eastAsia="Times New Roman" w:cstheme="minorHAnsi"/>
                <w:b/>
                <w:color w:val="000000"/>
              </w:rPr>
            </w:pPr>
            <w:r w:rsidRPr="009B0D49">
              <w:rPr>
                <w:rFonts w:eastAsia="Times New Roman" w:cstheme="minorHAnsi"/>
                <w:b/>
                <w:color w:val="000000"/>
              </w:rPr>
              <w:t>Mefloquine</w:t>
            </w:r>
          </w:p>
        </w:tc>
        <w:tc>
          <w:tcPr>
            <w:tcW w:w="0" w:type="auto"/>
            <w:hideMark/>
          </w:tcPr>
          <w:p w:rsidR="00A3629B" w:rsidRPr="009B0D49" w:rsidRDefault="00A3629B" w:rsidP="007C5122">
            <w:pPr>
              <w:rPr>
                <w:rFonts w:eastAsia="Times New Roman" w:cstheme="minorHAnsi"/>
                <w:color w:val="000000"/>
              </w:rPr>
            </w:pPr>
            <w:r w:rsidRPr="009B0D49">
              <w:rPr>
                <w:rFonts w:eastAsia="Times New Roman" w:cstheme="minorHAnsi"/>
                <w:color w:val="000000"/>
              </w:rPr>
              <w:t>228 mg base (250 mg salt) orally, once/week</w:t>
            </w:r>
          </w:p>
        </w:tc>
        <w:tc>
          <w:tcPr>
            <w:tcW w:w="0" w:type="auto"/>
            <w:hideMark/>
          </w:tcPr>
          <w:p w:rsidR="00A3629B" w:rsidRPr="009B0D49" w:rsidRDefault="00A3629B" w:rsidP="007C5122">
            <w:pPr>
              <w:rPr>
                <w:rFonts w:eastAsia="Times New Roman" w:cstheme="minorHAnsi"/>
                <w:color w:val="000000"/>
              </w:rPr>
            </w:pPr>
            <w:r w:rsidRPr="009B0D49">
              <w:rPr>
                <w:rFonts w:eastAsia="Times New Roman" w:cstheme="minorHAnsi"/>
                <w:color w:val="000000"/>
              </w:rPr>
              <w:t>≤9 kg: 4.6 mg/kg base (5 mg/kg salt) orally, once/week</w:t>
            </w:r>
            <w:r w:rsidRPr="009B0D49">
              <w:rPr>
                <w:rFonts w:eastAsia="Times New Roman" w:cstheme="minorHAnsi"/>
                <w:color w:val="000000"/>
              </w:rPr>
              <w:br/>
            </w:r>
            <w:r w:rsidRPr="009B0D49">
              <w:rPr>
                <w:rFonts w:eastAsia="Times New Roman" w:cstheme="minorHAnsi"/>
                <w:color w:val="000000"/>
              </w:rPr>
              <w:br/>
              <w:t>&gt;9–19 kg: 1/4 tablet once/week</w:t>
            </w:r>
            <w:r w:rsidRPr="009B0D49">
              <w:rPr>
                <w:rFonts w:eastAsia="Times New Roman" w:cstheme="minorHAnsi"/>
                <w:color w:val="000000"/>
              </w:rPr>
              <w:br/>
            </w:r>
            <w:r w:rsidRPr="009B0D49">
              <w:rPr>
                <w:rFonts w:eastAsia="Times New Roman" w:cstheme="minorHAnsi"/>
                <w:color w:val="000000"/>
              </w:rPr>
              <w:br/>
              <w:t>&gt;19–30 kg: 1/2 tablet once/week</w:t>
            </w:r>
            <w:r w:rsidRPr="009B0D49">
              <w:rPr>
                <w:rFonts w:eastAsia="Times New Roman" w:cstheme="minorHAnsi"/>
                <w:color w:val="000000"/>
              </w:rPr>
              <w:br/>
            </w:r>
            <w:r w:rsidRPr="009B0D49">
              <w:rPr>
                <w:rFonts w:eastAsia="Times New Roman" w:cstheme="minorHAnsi"/>
                <w:color w:val="000000"/>
              </w:rPr>
              <w:br/>
              <w:t>&gt;30–45 kg: 3/4 tablet once/week</w:t>
            </w:r>
            <w:r w:rsidRPr="009B0D49">
              <w:rPr>
                <w:rFonts w:eastAsia="Times New Roman" w:cstheme="minorHAnsi"/>
                <w:color w:val="000000"/>
              </w:rPr>
              <w:br/>
            </w:r>
            <w:r w:rsidRPr="009B0D49">
              <w:rPr>
                <w:rFonts w:eastAsia="Times New Roman" w:cstheme="minorHAnsi"/>
                <w:color w:val="000000"/>
              </w:rPr>
              <w:br/>
              <w:t>&gt;45 kg: 1 tablet once/week</w:t>
            </w:r>
          </w:p>
        </w:tc>
        <w:tc>
          <w:tcPr>
            <w:tcW w:w="0" w:type="auto"/>
            <w:hideMark/>
          </w:tcPr>
          <w:p w:rsidR="00A3629B" w:rsidRPr="009B0D49" w:rsidRDefault="00A3629B" w:rsidP="007C5122">
            <w:pPr>
              <w:rPr>
                <w:rFonts w:eastAsia="Times New Roman" w:cstheme="minorHAnsi"/>
                <w:color w:val="000000"/>
              </w:rPr>
            </w:pPr>
            <w:r w:rsidRPr="009B0D49">
              <w:rPr>
                <w:rFonts w:eastAsia="Times New Roman" w:cstheme="minorHAnsi"/>
                <w:color w:val="000000"/>
              </w:rPr>
              <w:t xml:space="preserve">Begin ≥2 weeks before travel to </w:t>
            </w:r>
            <w:proofErr w:type="spellStart"/>
            <w:r w:rsidRPr="009B0D49">
              <w:rPr>
                <w:rFonts w:eastAsia="Times New Roman" w:cstheme="minorHAnsi"/>
                <w:color w:val="000000"/>
              </w:rPr>
              <w:t>malarious</w:t>
            </w:r>
            <w:proofErr w:type="spellEnd"/>
            <w:r w:rsidRPr="009B0D49">
              <w:rPr>
                <w:rFonts w:eastAsia="Times New Roman" w:cstheme="minorHAnsi"/>
                <w:color w:val="000000"/>
              </w:rPr>
              <w:t xml:space="preserve"> areas. </w:t>
            </w:r>
          </w:p>
          <w:p w:rsidR="00A3629B" w:rsidRPr="009B0D49" w:rsidRDefault="00A3629B" w:rsidP="007C5122">
            <w:pPr>
              <w:rPr>
                <w:rFonts w:eastAsia="Times New Roman" w:cstheme="minorHAnsi"/>
                <w:color w:val="000000"/>
              </w:rPr>
            </w:pPr>
            <w:r w:rsidRPr="009B0D49">
              <w:rPr>
                <w:rFonts w:eastAsia="Times New Roman" w:cstheme="minorHAnsi"/>
                <w:color w:val="000000"/>
              </w:rPr>
              <w:t xml:space="preserve">Take weekly on the same day of the week while in the </w:t>
            </w:r>
            <w:proofErr w:type="spellStart"/>
            <w:r w:rsidRPr="009B0D49">
              <w:rPr>
                <w:rFonts w:eastAsia="Times New Roman" w:cstheme="minorHAnsi"/>
                <w:color w:val="000000"/>
              </w:rPr>
              <w:t>malarious</w:t>
            </w:r>
            <w:proofErr w:type="spellEnd"/>
            <w:r w:rsidRPr="009B0D49">
              <w:rPr>
                <w:rFonts w:eastAsia="Times New Roman" w:cstheme="minorHAnsi"/>
                <w:color w:val="000000"/>
              </w:rPr>
              <w:t xml:space="preserve"> area and for 4 weeks after leaving such areas. </w:t>
            </w:r>
          </w:p>
        </w:tc>
      </w:tr>
      <w:tr w:rsidR="00A3629B" w:rsidRPr="009B0D49" w:rsidTr="00A3629B">
        <w:trPr>
          <w:trHeight w:val="1790"/>
        </w:trPr>
        <w:tc>
          <w:tcPr>
            <w:tcW w:w="0" w:type="auto"/>
            <w:hideMark/>
          </w:tcPr>
          <w:p w:rsidR="00A3629B" w:rsidRPr="009B0D49" w:rsidRDefault="00A3629B" w:rsidP="00A3629B">
            <w:pPr>
              <w:rPr>
                <w:rFonts w:eastAsia="Times New Roman" w:cstheme="minorHAnsi"/>
                <w:b/>
                <w:color w:val="000000"/>
              </w:rPr>
            </w:pPr>
            <w:r w:rsidRPr="009B0D49">
              <w:rPr>
                <w:rFonts w:eastAsia="Times New Roman" w:cstheme="minorHAnsi"/>
                <w:b/>
                <w:color w:val="000000"/>
              </w:rPr>
              <w:lastRenderedPageBreak/>
              <w:t>Primaquine</w:t>
            </w:r>
          </w:p>
        </w:tc>
        <w:tc>
          <w:tcPr>
            <w:tcW w:w="0" w:type="auto"/>
            <w:hideMark/>
          </w:tcPr>
          <w:p w:rsidR="00A3629B" w:rsidRPr="009B0D49" w:rsidRDefault="00A3629B" w:rsidP="00A3629B">
            <w:pPr>
              <w:rPr>
                <w:rFonts w:eastAsia="Times New Roman" w:cstheme="minorHAnsi"/>
                <w:color w:val="000000"/>
              </w:rPr>
            </w:pPr>
            <w:r w:rsidRPr="009B0D49">
              <w:rPr>
                <w:rFonts w:eastAsia="Times New Roman" w:cstheme="minorHAnsi"/>
                <w:color w:val="000000"/>
              </w:rPr>
              <w:t>30 mg base (52.6 mg salt) orally, daily</w:t>
            </w:r>
            <w:r w:rsidRPr="009B0D49">
              <w:rPr>
                <w:rFonts w:eastAsia="Times New Roman" w:cstheme="minorHAnsi"/>
                <w:color w:val="000000"/>
              </w:rPr>
              <w:br/>
              <w:t xml:space="preserve">30 mg base (52.6 mg salt) orally, daily for 14 days after departure from the </w:t>
            </w:r>
            <w:proofErr w:type="spellStart"/>
            <w:r w:rsidRPr="009B0D49">
              <w:rPr>
                <w:rFonts w:eastAsia="Times New Roman" w:cstheme="minorHAnsi"/>
                <w:color w:val="000000"/>
              </w:rPr>
              <w:t>malarious</w:t>
            </w:r>
            <w:proofErr w:type="spellEnd"/>
            <w:r w:rsidRPr="009B0D49">
              <w:rPr>
                <w:rFonts w:eastAsia="Times New Roman" w:cstheme="minorHAnsi"/>
                <w:color w:val="000000"/>
              </w:rPr>
              <w:t xml:space="preserve"> area</w:t>
            </w:r>
          </w:p>
        </w:tc>
        <w:tc>
          <w:tcPr>
            <w:tcW w:w="0" w:type="auto"/>
            <w:hideMark/>
          </w:tcPr>
          <w:p w:rsidR="00A3629B" w:rsidRPr="009B0D49" w:rsidRDefault="00A3629B" w:rsidP="00A3629B">
            <w:pPr>
              <w:rPr>
                <w:rFonts w:eastAsia="Times New Roman" w:cstheme="minorHAnsi"/>
                <w:color w:val="000000"/>
              </w:rPr>
            </w:pPr>
            <w:r w:rsidRPr="009B0D49">
              <w:rPr>
                <w:rFonts w:eastAsia="Times New Roman" w:cstheme="minorHAnsi"/>
                <w:color w:val="000000"/>
              </w:rPr>
              <w:t>0.5 mg/kg base (0.8 mg/kg salt) up to adult dose orally, daily</w:t>
            </w:r>
            <w:r w:rsidRPr="009B0D49">
              <w:rPr>
                <w:rFonts w:eastAsia="Times New Roman" w:cstheme="minorHAnsi"/>
                <w:color w:val="000000"/>
              </w:rPr>
              <w:br/>
              <w:t xml:space="preserve">0.5 mg/kg base (0.8 mg/kg salt) up to adult dose orally, daily for 14 days after departure from the </w:t>
            </w:r>
            <w:proofErr w:type="spellStart"/>
            <w:r w:rsidRPr="009B0D49">
              <w:rPr>
                <w:rFonts w:eastAsia="Times New Roman" w:cstheme="minorHAnsi"/>
                <w:color w:val="000000"/>
              </w:rPr>
              <w:t>malarious</w:t>
            </w:r>
            <w:proofErr w:type="spellEnd"/>
            <w:r w:rsidRPr="009B0D49">
              <w:rPr>
                <w:rFonts w:eastAsia="Times New Roman" w:cstheme="minorHAnsi"/>
                <w:color w:val="000000"/>
              </w:rPr>
              <w:t xml:space="preserve"> area</w:t>
            </w:r>
          </w:p>
        </w:tc>
        <w:tc>
          <w:tcPr>
            <w:tcW w:w="0" w:type="auto"/>
            <w:hideMark/>
          </w:tcPr>
          <w:p w:rsidR="00A3629B" w:rsidRPr="009B0D49" w:rsidRDefault="00A3629B" w:rsidP="00A3629B">
            <w:pPr>
              <w:rPr>
                <w:rFonts w:eastAsia="Times New Roman" w:cstheme="minorHAnsi"/>
                <w:color w:val="000000"/>
              </w:rPr>
            </w:pPr>
            <w:r w:rsidRPr="009B0D49">
              <w:rPr>
                <w:rFonts w:eastAsia="Times New Roman" w:cstheme="minorHAnsi"/>
                <w:color w:val="000000"/>
              </w:rPr>
              <w:t xml:space="preserve">Begin 1–2 days before travel to </w:t>
            </w:r>
            <w:proofErr w:type="spellStart"/>
            <w:r w:rsidRPr="009B0D49">
              <w:rPr>
                <w:rFonts w:eastAsia="Times New Roman" w:cstheme="minorHAnsi"/>
                <w:color w:val="000000"/>
              </w:rPr>
              <w:t>malarious</w:t>
            </w:r>
            <w:proofErr w:type="spellEnd"/>
            <w:r w:rsidRPr="009B0D49">
              <w:rPr>
                <w:rFonts w:eastAsia="Times New Roman" w:cstheme="minorHAnsi"/>
                <w:color w:val="000000"/>
              </w:rPr>
              <w:t xml:space="preserve"> areas. </w:t>
            </w:r>
          </w:p>
          <w:p w:rsidR="00A3629B" w:rsidRPr="009B0D49" w:rsidRDefault="00A3629B" w:rsidP="00A3629B">
            <w:pPr>
              <w:rPr>
                <w:rFonts w:eastAsia="Times New Roman" w:cstheme="minorHAnsi"/>
                <w:color w:val="000000"/>
              </w:rPr>
            </w:pPr>
            <w:r w:rsidRPr="009B0D49">
              <w:rPr>
                <w:rFonts w:eastAsia="Times New Roman" w:cstheme="minorHAnsi"/>
                <w:color w:val="000000"/>
              </w:rPr>
              <w:t xml:space="preserve">Take daily at the same time each day while in the </w:t>
            </w:r>
            <w:proofErr w:type="spellStart"/>
            <w:r w:rsidRPr="009B0D49">
              <w:rPr>
                <w:rFonts w:eastAsia="Times New Roman" w:cstheme="minorHAnsi"/>
                <w:color w:val="000000"/>
              </w:rPr>
              <w:t>malarious</w:t>
            </w:r>
            <w:proofErr w:type="spellEnd"/>
            <w:r w:rsidRPr="009B0D49">
              <w:rPr>
                <w:rFonts w:eastAsia="Times New Roman" w:cstheme="minorHAnsi"/>
                <w:color w:val="000000"/>
              </w:rPr>
              <w:t xml:space="preserve"> area and for 7 days after leaving such areas.</w:t>
            </w:r>
          </w:p>
        </w:tc>
      </w:tr>
    </w:tbl>
    <w:p w:rsidR="007C5122" w:rsidRPr="009B0D49" w:rsidRDefault="007C5122" w:rsidP="007C2D6F">
      <w:pPr>
        <w:rPr>
          <w:rFonts w:cstheme="minorHAnsi"/>
          <w:b/>
        </w:rPr>
      </w:pPr>
    </w:p>
    <w:p w:rsidR="00A3629B" w:rsidRPr="009B0D49" w:rsidRDefault="00A3629B" w:rsidP="007C2D6F">
      <w:pPr>
        <w:rPr>
          <w:rFonts w:cstheme="minorHAnsi"/>
          <w:b/>
        </w:rPr>
      </w:pPr>
      <w:r w:rsidRPr="009B0D49">
        <w:rPr>
          <w:rFonts w:cstheme="minorHAnsi"/>
          <w:b/>
        </w:rPr>
        <w:t>The following lists the drugs used for malaria chemoprophylaxis a</w:t>
      </w:r>
      <w:r w:rsidR="000C07BD" w:rsidRPr="009B0D49">
        <w:rPr>
          <w:rFonts w:cstheme="minorHAnsi"/>
          <w:b/>
        </w:rPr>
        <w:t>vailable through Apple Pharmacy</w:t>
      </w:r>
    </w:p>
    <w:p w:rsidR="000C07BD" w:rsidRPr="009B0D49" w:rsidRDefault="007558F3" w:rsidP="007C2D6F">
      <w:pPr>
        <w:rPr>
          <w:rFonts w:cstheme="minorHAnsi"/>
        </w:rPr>
      </w:pPr>
      <w:r w:rsidRPr="009B0D49">
        <w:rPr>
          <w:rFonts w:cstheme="minorHAnsi"/>
        </w:rPr>
        <w:t xml:space="preserve">At this time, limited stock of atovaquone-proguanil is available at the Apple Pharmacy. </w:t>
      </w:r>
    </w:p>
    <w:p w:rsidR="001E6A1A" w:rsidRPr="009B0D49" w:rsidRDefault="001E6A1A" w:rsidP="007C2D6F">
      <w:pPr>
        <w:rPr>
          <w:rFonts w:cstheme="minorHAnsi"/>
        </w:rPr>
      </w:pPr>
    </w:p>
    <w:p w:rsidR="001E6A1A" w:rsidRPr="009B0D49" w:rsidRDefault="001E6A1A" w:rsidP="007C2D6F">
      <w:pPr>
        <w:rPr>
          <w:rFonts w:cstheme="minorHAnsi"/>
        </w:rPr>
      </w:pPr>
    </w:p>
    <w:p w:rsidR="001E6A1A" w:rsidRPr="009B0D49" w:rsidRDefault="001E6A1A" w:rsidP="007C2D6F">
      <w:pPr>
        <w:rPr>
          <w:rFonts w:cstheme="minorHAnsi"/>
        </w:rPr>
      </w:pPr>
    </w:p>
    <w:p w:rsidR="001E6A1A" w:rsidRPr="009B0D49" w:rsidRDefault="001E6A1A" w:rsidP="007C2D6F">
      <w:pPr>
        <w:rPr>
          <w:rFonts w:cstheme="minorHAnsi"/>
        </w:rPr>
      </w:pPr>
    </w:p>
    <w:p w:rsidR="001E6A1A" w:rsidRPr="009B0D49" w:rsidRDefault="001E6A1A" w:rsidP="007C2D6F">
      <w:pPr>
        <w:rPr>
          <w:rFonts w:cstheme="minorHAnsi"/>
        </w:rPr>
      </w:pPr>
    </w:p>
    <w:p w:rsidR="001E6A1A" w:rsidRPr="009B0D49" w:rsidRDefault="001E6A1A" w:rsidP="007C2D6F">
      <w:pPr>
        <w:rPr>
          <w:rFonts w:cstheme="minorHAnsi"/>
        </w:rPr>
      </w:pPr>
    </w:p>
    <w:p w:rsidR="001E6A1A" w:rsidRPr="009B0D49" w:rsidRDefault="001E6A1A" w:rsidP="007C2D6F">
      <w:pPr>
        <w:rPr>
          <w:rFonts w:cstheme="minorHAnsi"/>
        </w:rPr>
      </w:pPr>
    </w:p>
    <w:p w:rsidR="001E6A1A" w:rsidRPr="009B0D49" w:rsidRDefault="001E6A1A" w:rsidP="007C2D6F">
      <w:pPr>
        <w:rPr>
          <w:rFonts w:cstheme="minorHAnsi"/>
        </w:rPr>
      </w:pPr>
    </w:p>
    <w:p w:rsidR="000C07BD" w:rsidRPr="009B0D49" w:rsidRDefault="000C07BD" w:rsidP="00A3629B">
      <w:pPr>
        <w:rPr>
          <w:rFonts w:cstheme="minorHAnsi"/>
          <w:b/>
          <w:u w:val="single"/>
        </w:rPr>
      </w:pPr>
      <w:r w:rsidRPr="009B0D49">
        <w:rPr>
          <w:rFonts w:cstheme="minorHAnsi"/>
          <w:b/>
          <w:u w:val="single"/>
        </w:rPr>
        <w:t xml:space="preserve">Recommended Travel Related Immunizations: </w:t>
      </w:r>
    </w:p>
    <w:p w:rsidR="007558F3" w:rsidRPr="009B0D49" w:rsidRDefault="007558F3" w:rsidP="007558F3">
      <w:pPr>
        <w:pStyle w:val="ListParagraph"/>
        <w:numPr>
          <w:ilvl w:val="0"/>
          <w:numId w:val="12"/>
        </w:numPr>
        <w:rPr>
          <w:rFonts w:cstheme="minorHAnsi"/>
        </w:rPr>
      </w:pPr>
      <w:r w:rsidRPr="009B0D49">
        <w:rPr>
          <w:rFonts w:cstheme="minorHAnsi"/>
        </w:rPr>
        <w:t>Routinely recommended vaccines:</w:t>
      </w:r>
    </w:p>
    <w:p w:rsidR="007558F3" w:rsidRPr="009B0D49" w:rsidRDefault="000C07BD" w:rsidP="007558F3">
      <w:pPr>
        <w:pStyle w:val="ListParagraph"/>
        <w:numPr>
          <w:ilvl w:val="1"/>
          <w:numId w:val="12"/>
        </w:numPr>
        <w:rPr>
          <w:rFonts w:cstheme="minorHAnsi"/>
        </w:rPr>
      </w:pPr>
      <w:r w:rsidRPr="009B0D49">
        <w:rPr>
          <w:rFonts w:cstheme="minorHAnsi"/>
        </w:rPr>
        <w:t xml:space="preserve">Providers should ensure that the child is up-to-date on routinely recommended immunizations.  </w:t>
      </w:r>
    </w:p>
    <w:p w:rsidR="007558F3" w:rsidRPr="009B0D49" w:rsidRDefault="000C07BD" w:rsidP="007558F3">
      <w:pPr>
        <w:pStyle w:val="ListParagraph"/>
        <w:numPr>
          <w:ilvl w:val="1"/>
          <w:numId w:val="12"/>
        </w:numPr>
        <w:rPr>
          <w:rFonts w:cstheme="minorHAnsi"/>
        </w:rPr>
      </w:pPr>
      <w:r w:rsidRPr="009B0D49">
        <w:rPr>
          <w:rFonts w:cstheme="minorHAnsi"/>
        </w:rPr>
        <w:t xml:space="preserve">Some routinely recommended vaccines need to be administered early or on an accelerated schedule to provide optimal protection prior to international travel.  </w:t>
      </w:r>
    </w:p>
    <w:p w:rsidR="007558F3" w:rsidRPr="009B0D49" w:rsidRDefault="000C07BD" w:rsidP="007558F3">
      <w:pPr>
        <w:pStyle w:val="ListParagraph"/>
        <w:numPr>
          <w:ilvl w:val="0"/>
          <w:numId w:val="12"/>
        </w:numPr>
        <w:rPr>
          <w:rFonts w:cstheme="minorHAnsi"/>
        </w:rPr>
      </w:pPr>
      <w:r w:rsidRPr="009B0D49">
        <w:rPr>
          <w:rFonts w:cstheme="minorHAnsi"/>
        </w:rPr>
        <w:t>Additional vaccines</w:t>
      </w:r>
    </w:p>
    <w:p w:rsidR="001E6A1A" w:rsidRPr="009B0D49" w:rsidRDefault="007558F3" w:rsidP="001E6A1A">
      <w:pPr>
        <w:pStyle w:val="ListParagraph"/>
        <w:numPr>
          <w:ilvl w:val="1"/>
          <w:numId w:val="12"/>
        </w:numPr>
        <w:rPr>
          <w:rFonts w:cstheme="minorHAnsi"/>
        </w:rPr>
      </w:pPr>
      <w:r w:rsidRPr="009B0D49">
        <w:rPr>
          <w:rFonts w:cstheme="minorHAnsi"/>
        </w:rPr>
        <w:t>Additional vaccines</w:t>
      </w:r>
      <w:r w:rsidR="000C07BD" w:rsidRPr="009B0D49">
        <w:rPr>
          <w:rFonts w:cstheme="minorHAnsi"/>
        </w:rPr>
        <w:t xml:space="preserve"> may be indicated depending on the </w:t>
      </w:r>
      <w:hyperlink r:id="rId9" w:history="1">
        <w:r w:rsidR="000C07BD" w:rsidRPr="009B0D49">
          <w:rPr>
            <w:rStyle w:val="Hyperlink"/>
            <w:rFonts w:cstheme="minorHAnsi"/>
          </w:rPr>
          <w:t>travel destination</w:t>
        </w:r>
      </w:hyperlink>
      <w:r w:rsidR="000C07BD" w:rsidRPr="009B0D49">
        <w:rPr>
          <w:rFonts w:cstheme="minorHAnsi"/>
        </w:rPr>
        <w:t xml:space="preserve"> (select travel destination under- ‘for clinician’).  </w:t>
      </w:r>
    </w:p>
    <w:p w:rsidR="000C07BD" w:rsidRPr="009B0D49" w:rsidRDefault="000C07BD" w:rsidP="00A3629B">
      <w:pPr>
        <w:rPr>
          <w:rFonts w:cstheme="minorHAnsi"/>
          <w:b/>
        </w:rPr>
      </w:pPr>
      <w:r w:rsidRPr="009B0D49">
        <w:rPr>
          <w:rFonts w:cstheme="minorHAnsi"/>
        </w:rPr>
        <w:t xml:space="preserve"> </w:t>
      </w:r>
      <w:r w:rsidR="008E637F" w:rsidRPr="009B0D49">
        <w:rPr>
          <w:rFonts w:cstheme="minorHAnsi"/>
          <w:b/>
        </w:rPr>
        <w:t xml:space="preserve">The following table is adapted from the CDC to help the provider plan the needed immunizations before international travel. </w:t>
      </w:r>
    </w:p>
    <w:tbl>
      <w:tblPr>
        <w:tblStyle w:val="TableGrid"/>
        <w:tblW w:w="0" w:type="auto"/>
        <w:tblLook w:val="04A0" w:firstRow="1" w:lastRow="0" w:firstColumn="1" w:lastColumn="0" w:noHBand="0" w:noVBand="1"/>
      </w:tblPr>
      <w:tblGrid>
        <w:gridCol w:w="2319"/>
        <w:gridCol w:w="5017"/>
        <w:gridCol w:w="5614"/>
      </w:tblGrid>
      <w:tr w:rsidR="008E637F" w:rsidRPr="009B0D49" w:rsidTr="006D288F">
        <w:trPr>
          <w:trHeight w:val="311"/>
        </w:trPr>
        <w:tc>
          <w:tcPr>
            <w:tcW w:w="2335" w:type="dxa"/>
          </w:tcPr>
          <w:p w:rsidR="008E637F" w:rsidRPr="009B0D49" w:rsidRDefault="008E637F" w:rsidP="00A3629B">
            <w:pPr>
              <w:rPr>
                <w:rFonts w:cstheme="minorHAnsi"/>
                <w:b/>
              </w:rPr>
            </w:pPr>
            <w:r w:rsidRPr="009B0D49">
              <w:rPr>
                <w:rFonts w:cstheme="minorHAnsi"/>
                <w:b/>
              </w:rPr>
              <w:lastRenderedPageBreak/>
              <w:t xml:space="preserve">Vaccine </w:t>
            </w:r>
          </w:p>
        </w:tc>
        <w:tc>
          <w:tcPr>
            <w:tcW w:w="5084" w:type="dxa"/>
          </w:tcPr>
          <w:p w:rsidR="008E637F" w:rsidRPr="009B0D49" w:rsidRDefault="008E637F" w:rsidP="00A3629B">
            <w:pPr>
              <w:rPr>
                <w:rFonts w:cstheme="minorHAnsi"/>
                <w:b/>
              </w:rPr>
            </w:pPr>
            <w:r w:rsidRPr="009B0D49">
              <w:rPr>
                <w:rFonts w:cstheme="minorHAnsi"/>
                <w:b/>
              </w:rPr>
              <w:t xml:space="preserve">Recommendations </w:t>
            </w:r>
          </w:p>
        </w:tc>
        <w:tc>
          <w:tcPr>
            <w:tcW w:w="5531" w:type="dxa"/>
          </w:tcPr>
          <w:p w:rsidR="008E637F" w:rsidRPr="009B0D49" w:rsidRDefault="008E637F" w:rsidP="00A3629B">
            <w:pPr>
              <w:rPr>
                <w:rFonts w:cstheme="minorHAnsi"/>
                <w:b/>
              </w:rPr>
            </w:pPr>
            <w:r w:rsidRPr="009B0D49">
              <w:rPr>
                <w:rFonts w:cstheme="minorHAnsi"/>
                <w:b/>
              </w:rPr>
              <w:t xml:space="preserve">Guidance </w:t>
            </w:r>
          </w:p>
        </w:tc>
      </w:tr>
      <w:tr w:rsidR="008E637F" w:rsidRPr="009B0D49" w:rsidTr="006D288F">
        <w:trPr>
          <w:trHeight w:val="422"/>
        </w:trPr>
        <w:tc>
          <w:tcPr>
            <w:tcW w:w="2335" w:type="dxa"/>
          </w:tcPr>
          <w:p w:rsidR="008E637F" w:rsidRPr="009B0D49" w:rsidRDefault="008E637F" w:rsidP="00A3629B">
            <w:pPr>
              <w:rPr>
                <w:rFonts w:cstheme="minorHAnsi"/>
                <w:b/>
              </w:rPr>
            </w:pPr>
            <w:r w:rsidRPr="009B0D49">
              <w:rPr>
                <w:rFonts w:cstheme="minorHAnsi"/>
                <w:b/>
              </w:rPr>
              <w:t>Routine vaccines</w:t>
            </w:r>
          </w:p>
        </w:tc>
        <w:tc>
          <w:tcPr>
            <w:tcW w:w="5084" w:type="dxa"/>
          </w:tcPr>
          <w:p w:rsidR="008E637F" w:rsidRPr="009B0D49" w:rsidRDefault="008E637F" w:rsidP="00A3629B">
            <w:pPr>
              <w:rPr>
                <w:rFonts w:cstheme="minorHAnsi"/>
              </w:rPr>
            </w:pPr>
            <w:r w:rsidRPr="009B0D49">
              <w:rPr>
                <w:rFonts w:cstheme="minorHAnsi"/>
              </w:rPr>
              <w:t>Recommended for all travelers</w:t>
            </w:r>
          </w:p>
        </w:tc>
        <w:tc>
          <w:tcPr>
            <w:tcW w:w="5531" w:type="dxa"/>
          </w:tcPr>
          <w:p w:rsidR="008E637F" w:rsidRPr="009B0D49" w:rsidRDefault="00FC401D" w:rsidP="00A3629B">
            <w:pPr>
              <w:rPr>
                <w:rFonts w:cstheme="minorHAnsi"/>
              </w:rPr>
            </w:pPr>
            <w:hyperlink r:id="rId10" w:history="1">
              <w:r w:rsidR="008E637F" w:rsidRPr="009B0D49">
                <w:rPr>
                  <w:rStyle w:val="Hyperlink"/>
                  <w:rFonts w:cstheme="minorHAnsi"/>
                </w:rPr>
                <w:t>Immunization schedules</w:t>
              </w:r>
            </w:hyperlink>
            <w:r w:rsidR="008E637F" w:rsidRPr="009B0D49">
              <w:rPr>
                <w:rFonts w:cstheme="minorHAnsi"/>
              </w:rPr>
              <w:t xml:space="preserve"> </w:t>
            </w:r>
          </w:p>
        </w:tc>
      </w:tr>
      <w:tr w:rsidR="008E637F" w:rsidRPr="009B0D49" w:rsidTr="006D288F">
        <w:trPr>
          <w:trHeight w:val="311"/>
        </w:trPr>
        <w:tc>
          <w:tcPr>
            <w:tcW w:w="2335" w:type="dxa"/>
          </w:tcPr>
          <w:p w:rsidR="008E637F" w:rsidRPr="009B0D49" w:rsidRDefault="008E637F" w:rsidP="00A3629B">
            <w:pPr>
              <w:rPr>
                <w:rFonts w:cstheme="minorHAnsi"/>
                <w:b/>
              </w:rPr>
            </w:pPr>
            <w:r w:rsidRPr="009B0D49">
              <w:rPr>
                <w:rFonts w:cstheme="minorHAnsi"/>
                <w:b/>
              </w:rPr>
              <w:t>Hepatitis A (HAV)</w:t>
            </w:r>
          </w:p>
        </w:tc>
        <w:tc>
          <w:tcPr>
            <w:tcW w:w="5084" w:type="dxa"/>
          </w:tcPr>
          <w:p w:rsidR="00142F11" w:rsidRPr="009B0D49" w:rsidRDefault="008E637F" w:rsidP="00142F11">
            <w:pPr>
              <w:rPr>
                <w:rFonts w:cstheme="minorHAnsi"/>
              </w:rPr>
            </w:pPr>
            <w:r w:rsidRPr="009B0D49">
              <w:rPr>
                <w:rFonts w:cstheme="minorHAnsi"/>
              </w:rPr>
              <w:t xml:space="preserve">Recommended for most travelers (regardless of the destination) given the complexity of interpreting HAV risk maps and potential risk of foodborne HAV in countries with low endemicity. </w:t>
            </w:r>
          </w:p>
          <w:p w:rsidR="008E637F" w:rsidRPr="009B0D49" w:rsidRDefault="008E637F" w:rsidP="00142F11">
            <w:pPr>
              <w:rPr>
                <w:rFonts w:cstheme="minorHAnsi"/>
              </w:rPr>
            </w:pPr>
          </w:p>
          <w:p w:rsidR="007D46C9" w:rsidRPr="009B0D49" w:rsidRDefault="007D46C9" w:rsidP="007D46C9">
            <w:pPr>
              <w:rPr>
                <w:rFonts w:cstheme="minorHAnsi"/>
              </w:rPr>
            </w:pPr>
            <w:r w:rsidRPr="009B0D49">
              <w:rPr>
                <w:rFonts w:cstheme="minorHAnsi"/>
              </w:rPr>
              <w:t>For travel that will begin in ≤2 weeks to countries with high or intermediate hepatitis A endemicity, older adults, immunocompromised persons, and persons with chronic liver disease or other chronic medical conditions may receive IG simultaneously with HAV at a separate anatomic injection site. Travelers who elect not to receive hepatitis A vaccine, who are aged &lt;12 months, or who are allergic to a component of hepatitis A vaccine should receive a single dose of IG before travel</w:t>
            </w:r>
          </w:p>
        </w:tc>
        <w:tc>
          <w:tcPr>
            <w:tcW w:w="5531" w:type="dxa"/>
          </w:tcPr>
          <w:p w:rsidR="008E637F" w:rsidRPr="009B0D49" w:rsidRDefault="008E637F" w:rsidP="00A3629B">
            <w:pPr>
              <w:rPr>
                <w:rFonts w:cstheme="minorHAnsi"/>
              </w:rPr>
            </w:pPr>
            <w:r w:rsidRPr="009B0D49">
              <w:rPr>
                <w:rFonts w:cstheme="minorHAnsi"/>
                <w:b/>
              </w:rPr>
              <w:t>Vaccine</w:t>
            </w:r>
            <w:r w:rsidRPr="009B0D49">
              <w:rPr>
                <w:rFonts w:cstheme="minorHAnsi"/>
              </w:rPr>
              <w:t>: 12 months through 40 years</w:t>
            </w:r>
            <w:r w:rsidR="00142F11" w:rsidRPr="009B0D49">
              <w:rPr>
                <w:rFonts w:cstheme="minorHAnsi"/>
              </w:rPr>
              <w:t xml:space="preserve"> (Single dose of monovalent HAV protects most healthy people 1-40 years; monovalent vaccine series should be completed for long-term protection.)</w:t>
            </w:r>
          </w:p>
          <w:p w:rsidR="00142F11" w:rsidRPr="009B0D49" w:rsidRDefault="00FC401D" w:rsidP="00142F11">
            <w:pPr>
              <w:rPr>
                <w:rFonts w:cstheme="minorHAnsi"/>
              </w:rPr>
            </w:pPr>
            <w:hyperlink r:id="rId11" w:history="1">
              <w:r w:rsidR="00142F11" w:rsidRPr="009B0D49">
                <w:rPr>
                  <w:rStyle w:val="Hyperlink"/>
                  <w:rFonts w:cstheme="minorHAnsi"/>
                  <w:b/>
                </w:rPr>
                <w:t>IGIM dose</w:t>
              </w:r>
              <w:r w:rsidR="00142F11" w:rsidRPr="009B0D49">
                <w:rPr>
                  <w:rStyle w:val="Hyperlink"/>
                  <w:rFonts w:cstheme="minorHAnsi"/>
                </w:rPr>
                <w:t>:</w:t>
              </w:r>
            </w:hyperlink>
            <w:r w:rsidR="00142F11" w:rsidRPr="009B0D49">
              <w:rPr>
                <w:rFonts w:cstheme="minorHAnsi"/>
              </w:rPr>
              <w:t xml:space="preserve"> </w:t>
            </w:r>
          </w:p>
          <w:p w:rsidR="00142F11" w:rsidRPr="009B0D49" w:rsidRDefault="00142F11" w:rsidP="00142F11">
            <w:pPr>
              <w:rPr>
                <w:rFonts w:cstheme="minorHAnsi"/>
              </w:rPr>
            </w:pPr>
            <w:r w:rsidRPr="009B0D49">
              <w:rPr>
                <w:rFonts w:cstheme="minorHAnsi"/>
              </w:rPr>
              <w:t>Up to 1 month of travel: 0.1 ml/kg</w:t>
            </w:r>
          </w:p>
          <w:p w:rsidR="00142F11" w:rsidRPr="009B0D49" w:rsidRDefault="00142F11" w:rsidP="00142F11">
            <w:pPr>
              <w:rPr>
                <w:rFonts w:cstheme="minorHAnsi"/>
              </w:rPr>
            </w:pPr>
            <w:r w:rsidRPr="009B0D49">
              <w:rPr>
                <w:rFonts w:cstheme="minorHAnsi"/>
              </w:rPr>
              <w:t>Up to 2 months of travel: 0.2 ml/kg</w:t>
            </w:r>
          </w:p>
          <w:p w:rsidR="00142F11" w:rsidRPr="009B0D49" w:rsidRDefault="00142F11" w:rsidP="00142F11">
            <w:pPr>
              <w:rPr>
                <w:rFonts w:cstheme="minorHAnsi"/>
              </w:rPr>
            </w:pPr>
            <w:r w:rsidRPr="009B0D49">
              <w:rPr>
                <w:rFonts w:cstheme="minorHAnsi"/>
              </w:rPr>
              <w:t xml:space="preserve">Travel ≥ 2 months:  0.02 ml/kg protects for up to 3 months, for trips of 3 months or longer, 0.06 ml/kg should be administered before departure and every 5 months if exposure to HAV continues </w:t>
            </w:r>
          </w:p>
        </w:tc>
      </w:tr>
      <w:tr w:rsidR="008E637F" w:rsidRPr="009B0D49" w:rsidTr="006D288F">
        <w:trPr>
          <w:trHeight w:val="311"/>
        </w:trPr>
        <w:tc>
          <w:tcPr>
            <w:tcW w:w="2335" w:type="dxa"/>
          </w:tcPr>
          <w:p w:rsidR="008E637F" w:rsidRPr="009B0D49" w:rsidRDefault="007D46C9" w:rsidP="00A3629B">
            <w:pPr>
              <w:rPr>
                <w:rFonts w:cstheme="minorHAnsi"/>
                <w:b/>
              </w:rPr>
            </w:pPr>
            <w:r w:rsidRPr="009B0D49">
              <w:rPr>
                <w:rFonts w:cstheme="minorHAnsi"/>
                <w:b/>
              </w:rPr>
              <w:t xml:space="preserve">Hepatitis B </w:t>
            </w:r>
            <w:r w:rsidR="00646FAC" w:rsidRPr="009B0D49">
              <w:rPr>
                <w:rFonts w:cstheme="minorHAnsi"/>
                <w:b/>
              </w:rPr>
              <w:t>(HBV)</w:t>
            </w:r>
          </w:p>
        </w:tc>
        <w:tc>
          <w:tcPr>
            <w:tcW w:w="5084" w:type="dxa"/>
          </w:tcPr>
          <w:p w:rsidR="008E637F" w:rsidRPr="009B0D49" w:rsidRDefault="007D46C9" w:rsidP="00A3629B">
            <w:pPr>
              <w:rPr>
                <w:rFonts w:cstheme="minorHAnsi"/>
              </w:rPr>
            </w:pPr>
            <w:r w:rsidRPr="009B0D49">
              <w:rPr>
                <w:rFonts w:cstheme="minorHAnsi"/>
              </w:rPr>
              <w:t>Consider for most travelers; recommended for those who might be exposed to blood or other body fluids, have sexual contact with the local population, or be exposed through medical treatment (e.g., for an accident).</w:t>
            </w:r>
          </w:p>
        </w:tc>
        <w:tc>
          <w:tcPr>
            <w:tcW w:w="5531" w:type="dxa"/>
          </w:tcPr>
          <w:p w:rsidR="007D46C9" w:rsidRPr="009B0D49" w:rsidRDefault="007D46C9" w:rsidP="007D46C9">
            <w:pPr>
              <w:rPr>
                <w:rFonts w:cstheme="minorHAnsi"/>
              </w:rPr>
            </w:pPr>
            <w:r w:rsidRPr="009B0D49">
              <w:rPr>
                <w:rFonts w:cstheme="minorHAnsi"/>
              </w:rPr>
              <w:t xml:space="preserve">Ideally, </w:t>
            </w:r>
            <w:hyperlink r:id="rId12" w:history="1">
              <w:r w:rsidRPr="009B0D49">
                <w:rPr>
                  <w:rStyle w:val="Hyperlink"/>
                  <w:rFonts w:cstheme="minorHAnsi"/>
                </w:rPr>
                <w:t>HBV vaccination</w:t>
              </w:r>
            </w:hyperlink>
            <w:r w:rsidRPr="009B0D49">
              <w:rPr>
                <w:rFonts w:cstheme="minorHAnsi"/>
              </w:rPr>
              <w:t xml:space="preserve"> should begin ≥6 months before travel so the full vaccine series can be completed before departure. Because some protection is provided by 1 or 2 doses, the vaccine series should be initiated, if indicated, even if it cannot be completed before departure. Optimal protection, however, is not conferred until after the final vaccine dose is received, and travelers should be advised to complete the vaccine series.</w:t>
            </w:r>
          </w:p>
          <w:p w:rsidR="008E637F" w:rsidRPr="009B0D49" w:rsidRDefault="007D46C9" w:rsidP="007D46C9">
            <w:pPr>
              <w:rPr>
                <w:rFonts w:cstheme="minorHAnsi"/>
              </w:rPr>
            </w:pPr>
            <w:r w:rsidRPr="009B0D49">
              <w:rPr>
                <w:rFonts w:cstheme="minorHAnsi"/>
              </w:rPr>
              <w:t>An approved accelerated vaccination schedule can be used for people traveling on short notice who face imminent exposure: vaccine doses administered at days 0, 7, and 21–30; a booster should be administered at 12 months to promote long-term immunity</w:t>
            </w:r>
            <w:r w:rsidR="00AB3C71" w:rsidRPr="009B0D49">
              <w:rPr>
                <w:rFonts w:cstheme="minorHAnsi"/>
              </w:rPr>
              <w:t xml:space="preserve"> (</w:t>
            </w:r>
            <w:proofErr w:type="spellStart"/>
            <w:r w:rsidR="00AB3C71" w:rsidRPr="009B0D49">
              <w:rPr>
                <w:rFonts w:cstheme="minorHAnsi"/>
              </w:rPr>
              <w:t>Twinrix</w:t>
            </w:r>
            <w:proofErr w:type="spellEnd"/>
            <w:r w:rsidR="00AB3C71" w:rsidRPr="009B0D49">
              <w:rPr>
                <w:rFonts w:cstheme="minorHAnsi"/>
              </w:rPr>
              <w:t>, GSK)</w:t>
            </w:r>
            <w:r w:rsidRPr="009B0D49">
              <w:rPr>
                <w:rFonts w:cstheme="minorHAnsi"/>
              </w:rPr>
              <w:t xml:space="preserve">. </w:t>
            </w:r>
          </w:p>
        </w:tc>
      </w:tr>
      <w:tr w:rsidR="008E637F" w:rsidRPr="009B0D49" w:rsidTr="006D288F">
        <w:trPr>
          <w:trHeight w:val="328"/>
        </w:trPr>
        <w:tc>
          <w:tcPr>
            <w:tcW w:w="2335" w:type="dxa"/>
          </w:tcPr>
          <w:p w:rsidR="008E637F" w:rsidRPr="009B0D49" w:rsidRDefault="00AB3C71" w:rsidP="00AB3C71">
            <w:pPr>
              <w:rPr>
                <w:rFonts w:cstheme="minorHAnsi"/>
                <w:b/>
              </w:rPr>
            </w:pPr>
            <w:r w:rsidRPr="009B0D49">
              <w:rPr>
                <w:rFonts w:cstheme="minorHAnsi"/>
                <w:b/>
              </w:rPr>
              <w:t>Measles</w:t>
            </w:r>
          </w:p>
        </w:tc>
        <w:tc>
          <w:tcPr>
            <w:tcW w:w="5084" w:type="dxa"/>
          </w:tcPr>
          <w:p w:rsidR="008E637F" w:rsidRPr="009B0D49" w:rsidRDefault="00AB3C71" w:rsidP="00AB3C71">
            <w:pPr>
              <w:rPr>
                <w:rFonts w:cstheme="minorHAnsi"/>
              </w:rPr>
            </w:pPr>
            <w:r w:rsidRPr="009B0D49">
              <w:rPr>
                <w:rFonts w:cstheme="minorHAnsi"/>
              </w:rPr>
              <w:t>Children who travel or live abroad should be vaccinated at an earlier age than recommended for children remaining in the United States</w:t>
            </w:r>
            <w:r w:rsidR="001E6A1A" w:rsidRPr="009B0D49">
              <w:rPr>
                <w:rFonts w:cstheme="minorHAnsi"/>
              </w:rPr>
              <w:t>.</w:t>
            </w:r>
          </w:p>
          <w:p w:rsidR="001E6A1A" w:rsidRPr="009B0D49" w:rsidRDefault="001E6A1A" w:rsidP="00AB3C71">
            <w:pPr>
              <w:rPr>
                <w:rFonts w:cstheme="minorHAnsi"/>
              </w:rPr>
            </w:pPr>
          </w:p>
          <w:p w:rsidR="001E6A1A" w:rsidRPr="009B0D49" w:rsidRDefault="001E6A1A" w:rsidP="00AB3C71">
            <w:pPr>
              <w:rPr>
                <w:rFonts w:cstheme="minorHAnsi"/>
              </w:rPr>
            </w:pPr>
            <w:r w:rsidRPr="009B0D49">
              <w:rPr>
                <w:rFonts w:cstheme="minorHAnsi"/>
              </w:rPr>
              <w:lastRenderedPageBreak/>
              <w:t>People who do not have</w:t>
            </w:r>
            <w:hyperlink r:id="rId13" w:history="1">
              <w:r w:rsidRPr="009B0D49">
                <w:rPr>
                  <w:rStyle w:val="Hyperlink"/>
                  <w:rFonts w:cstheme="minorHAnsi"/>
                </w:rPr>
                <w:t xml:space="preserve"> evidence of measles</w:t>
              </w:r>
            </w:hyperlink>
            <w:r w:rsidRPr="009B0D49">
              <w:rPr>
                <w:rFonts w:cstheme="minorHAnsi"/>
              </w:rPr>
              <w:t xml:space="preserve"> immunity should be considered at risk for measles, particularly during international travel</w:t>
            </w:r>
          </w:p>
        </w:tc>
        <w:tc>
          <w:tcPr>
            <w:tcW w:w="5531" w:type="dxa"/>
          </w:tcPr>
          <w:p w:rsidR="007A51A8" w:rsidRPr="009B0D49" w:rsidRDefault="00AB3C71" w:rsidP="00AB3C71">
            <w:pPr>
              <w:rPr>
                <w:rFonts w:cstheme="minorHAnsi"/>
              </w:rPr>
            </w:pPr>
            <w:r w:rsidRPr="009B0D49">
              <w:rPr>
                <w:rFonts w:cstheme="minorHAnsi"/>
              </w:rPr>
              <w:lastRenderedPageBreak/>
              <w:t xml:space="preserve">People 6 months of age or older who will be traveling internationally should be protected against measles. </w:t>
            </w:r>
          </w:p>
          <w:p w:rsidR="00AB3C71" w:rsidRPr="009B0D49" w:rsidRDefault="00AB3C71" w:rsidP="00AB3C71">
            <w:pPr>
              <w:rPr>
                <w:rFonts w:cstheme="minorHAnsi"/>
              </w:rPr>
            </w:pPr>
            <w:r w:rsidRPr="009B0D49">
              <w:rPr>
                <w:rFonts w:cstheme="minorHAnsi"/>
              </w:rPr>
              <w:t>Before travelling internationally,</w:t>
            </w:r>
          </w:p>
          <w:p w:rsidR="00AB3C71" w:rsidRPr="009B0D49" w:rsidRDefault="00AB3C71" w:rsidP="00AB3C71">
            <w:pPr>
              <w:rPr>
                <w:rFonts w:cstheme="minorHAnsi"/>
              </w:rPr>
            </w:pPr>
          </w:p>
          <w:p w:rsidR="001E6A1A" w:rsidRPr="009B0D49" w:rsidRDefault="001E6A1A" w:rsidP="001E6A1A">
            <w:pPr>
              <w:pStyle w:val="ListParagraph"/>
              <w:numPr>
                <w:ilvl w:val="0"/>
                <w:numId w:val="14"/>
              </w:numPr>
              <w:rPr>
                <w:rFonts w:cstheme="minorHAnsi"/>
              </w:rPr>
            </w:pPr>
            <w:r w:rsidRPr="009B0D49">
              <w:rPr>
                <w:rFonts w:cstheme="minorHAnsi"/>
              </w:rPr>
              <w:lastRenderedPageBreak/>
              <w:t>Infants aged 6–11 months should receive 1 MMR dose. Infants vaccinated before age 12 months must be revaccinated on or after the first birthday with 2 doses of MMR or MMRV separated by ≥28 days. MMRV is not licensed for children aged &lt;12 months.</w:t>
            </w:r>
          </w:p>
          <w:p w:rsidR="008E637F" w:rsidRPr="009B0D49" w:rsidRDefault="00AB3C71" w:rsidP="001E6A1A">
            <w:pPr>
              <w:pStyle w:val="ListParagraph"/>
              <w:numPr>
                <w:ilvl w:val="0"/>
                <w:numId w:val="14"/>
              </w:numPr>
              <w:rPr>
                <w:rFonts w:cstheme="minorHAnsi"/>
              </w:rPr>
            </w:pPr>
            <w:r w:rsidRPr="009B0D49">
              <w:rPr>
                <w:rFonts w:cstheme="minorHAnsi"/>
              </w:rPr>
              <w:t>Children 12 months of age or older should have documentation of two doses of MMR vaccine (the first dose of MMR vaccine should be administered at age 12 months or older; the second dose no earlier than 28 days after the first dose)</w:t>
            </w:r>
          </w:p>
        </w:tc>
      </w:tr>
      <w:tr w:rsidR="008E637F" w:rsidRPr="009B0D49" w:rsidTr="006D288F">
        <w:trPr>
          <w:trHeight w:val="311"/>
        </w:trPr>
        <w:tc>
          <w:tcPr>
            <w:tcW w:w="2335" w:type="dxa"/>
          </w:tcPr>
          <w:p w:rsidR="008E637F" w:rsidRPr="009B0D49" w:rsidRDefault="00A410DF" w:rsidP="00A3629B">
            <w:pPr>
              <w:rPr>
                <w:rFonts w:cstheme="minorHAnsi"/>
                <w:b/>
              </w:rPr>
            </w:pPr>
            <w:r w:rsidRPr="009B0D49">
              <w:rPr>
                <w:rFonts w:cstheme="minorHAnsi"/>
                <w:b/>
              </w:rPr>
              <w:lastRenderedPageBreak/>
              <w:t>Poliovirus</w:t>
            </w:r>
          </w:p>
        </w:tc>
        <w:tc>
          <w:tcPr>
            <w:tcW w:w="5084" w:type="dxa"/>
          </w:tcPr>
          <w:p w:rsidR="008E637F" w:rsidRPr="009B0D49" w:rsidRDefault="00A410DF" w:rsidP="00A410DF">
            <w:pPr>
              <w:pStyle w:val="ListParagraph"/>
              <w:numPr>
                <w:ilvl w:val="0"/>
                <w:numId w:val="15"/>
              </w:numPr>
              <w:rPr>
                <w:rFonts w:cstheme="minorHAnsi"/>
              </w:rPr>
            </w:pPr>
            <w:r w:rsidRPr="009B0D49">
              <w:rPr>
                <w:rFonts w:cstheme="minorHAnsi"/>
              </w:rPr>
              <w:t>Polio vaccination is recommended for all travelers to countries with wild polio virus or vaccine derived polio virus.</w:t>
            </w:r>
          </w:p>
          <w:p w:rsidR="00A410DF" w:rsidRPr="009B0D49" w:rsidRDefault="00A410DF" w:rsidP="00A410DF">
            <w:pPr>
              <w:pStyle w:val="ListParagraph"/>
              <w:numPr>
                <w:ilvl w:val="0"/>
                <w:numId w:val="15"/>
              </w:numPr>
              <w:rPr>
                <w:rFonts w:cstheme="minorHAnsi"/>
              </w:rPr>
            </w:pPr>
            <w:r w:rsidRPr="009B0D49">
              <w:rPr>
                <w:rFonts w:cstheme="minorHAnsi"/>
              </w:rPr>
              <w:t xml:space="preserve">Since the situation is dynamic, refer to the CDC Travelers’ Health website destination pages for the most up-to-date polio vaccine recommendations </w:t>
            </w:r>
            <w:hyperlink r:id="rId14" w:history="1">
              <w:r w:rsidRPr="009B0D49">
                <w:rPr>
                  <w:rStyle w:val="Hyperlink"/>
                  <w:rFonts w:cstheme="minorHAnsi"/>
                </w:rPr>
                <w:t>Travelers' Health | CDC</w:t>
              </w:r>
            </w:hyperlink>
          </w:p>
        </w:tc>
        <w:tc>
          <w:tcPr>
            <w:tcW w:w="5531" w:type="dxa"/>
          </w:tcPr>
          <w:p w:rsidR="00A410DF" w:rsidRPr="009B0D49" w:rsidRDefault="00A410DF" w:rsidP="00A410DF">
            <w:pPr>
              <w:rPr>
                <w:rFonts w:cstheme="minorHAnsi"/>
              </w:rPr>
            </w:pPr>
            <w:r w:rsidRPr="009B0D49">
              <w:rPr>
                <w:rFonts w:cstheme="minorHAnsi"/>
              </w:rPr>
              <w:t>In the United States, infants and children should be vaccinated against polio as part of a routine immunization series.</w:t>
            </w:r>
          </w:p>
          <w:p w:rsidR="008E637F" w:rsidRPr="009B0D49" w:rsidRDefault="00A410DF" w:rsidP="00A410DF">
            <w:pPr>
              <w:rPr>
                <w:rFonts w:cstheme="minorHAnsi"/>
              </w:rPr>
            </w:pPr>
            <w:r w:rsidRPr="009B0D49">
              <w:rPr>
                <w:rFonts w:cstheme="minorHAnsi"/>
              </w:rPr>
              <w:t xml:space="preserve">Polio vaccination is recommended for all travelers to countries with WPV or VDPV circulation  </w:t>
            </w:r>
            <w:hyperlink r:id="rId15" w:history="1">
              <w:r w:rsidRPr="009B0D49">
                <w:rPr>
                  <w:rStyle w:val="Hyperlink"/>
                  <w:rFonts w:cstheme="minorHAnsi"/>
                </w:rPr>
                <w:t>Travelers' Health | CDC</w:t>
              </w:r>
            </w:hyperlink>
          </w:p>
        </w:tc>
      </w:tr>
      <w:tr w:rsidR="008E637F" w:rsidRPr="009B0D49" w:rsidTr="006D288F">
        <w:trPr>
          <w:trHeight w:val="311"/>
        </w:trPr>
        <w:tc>
          <w:tcPr>
            <w:tcW w:w="2335" w:type="dxa"/>
          </w:tcPr>
          <w:p w:rsidR="008E637F" w:rsidRPr="009B0D49" w:rsidRDefault="00E70AC0" w:rsidP="00A3629B">
            <w:pPr>
              <w:rPr>
                <w:rFonts w:cstheme="minorHAnsi"/>
                <w:b/>
              </w:rPr>
            </w:pPr>
            <w:r w:rsidRPr="009B0D49">
              <w:rPr>
                <w:rFonts w:cstheme="minorHAnsi"/>
                <w:b/>
              </w:rPr>
              <w:t xml:space="preserve">Cholera </w:t>
            </w:r>
          </w:p>
        </w:tc>
        <w:tc>
          <w:tcPr>
            <w:tcW w:w="5084" w:type="dxa"/>
          </w:tcPr>
          <w:p w:rsidR="008E637F" w:rsidRPr="009B0D49" w:rsidRDefault="00E70AC0" w:rsidP="00E70AC0">
            <w:pPr>
              <w:pStyle w:val="ListParagraph"/>
              <w:numPr>
                <w:ilvl w:val="0"/>
                <w:numId w:val="16"/>
              </w:numPr>
              <w:rPr>
                <w:rFonts w:cstheme="minorHAnsi"/>
              </w:rPr>
            </w:pPr>
            <w:r w:rsidRPr="009B0D49">
              <w:rPr>
                <w:rFonts w:cstheme="minorHAnsi"/>
              </w:rPr>
              <w:t xml:space="preserve">CDC recommends this vaccine for adults who are traveling to areas of active cholera transmission. Cholera is assumed to be present in India </w:t>
            </w:r>
            <w:hyperlink r:id="rId16" w:history="1">
              <w:r w:rsidRPr="009B0D49">
                <w:rPr>
                  <w:rStyle w:val="Hyperlink"/>
                  <w:rFonts w:cstheme="minorHAnsi"/>
                </w:rPr>
                <w:t>Travelers' Health | CDC</w:t>
              </w:r>
            </w:hyperlink>
          </w:p>
          <w:p w:rsidR="00E70AC0" w:rsidRPr="009B0D49" w:rsidRDefault="00E70AC0" w:rsidP="00E70AC0">
            <w:pPr>
              <w:pStyle w:val="ListParagraph"/>
              <w:numPr>
                <w:ilvl w:val="0"/>
                <w:numId w:val="16"/>
              </w:numPr>
              <w:rPr>
                <w:rFonts w:cstheme="minorHAnsi"/>
              </w:rPr>
            </w:pPr>
            <w:r w:rsidRPr="009B0D49">
              <w:rPr>
                <w:rFonts w:cstheme="minorHAnsi"/>
              </w:rPr>
              <w:t>No country or territory requires vaccination against cholera as a condition for entry.</w:t>
            </w:r>
          </w:p>
          <w:p w:rsidR="00E70AC0" w:rsidRPr="009B0D49" w:rsidRDefault="00E70AC0" w:rsidP="00A3629B">
            <w:pPr>
              <w:rPr>
                <w:rFonts w:cstheme="minorHAnsi"/>
              </w:rPr>
            </w:pPr>
          </w:p>
        </w:tc>
        <w:tc>
          <w:tcPr>
            <w:tcW w:w="5531" w:type="dxa"/>
          </w:tcPr>
          <w:p w:rsidR="003904D6" w:rsidRPr="009B0D49" w:rsidRDefault="003904D6" w:rsidP="003904D6">
            <w:pPr>
              <w:rPr>
                <w:rFonts w:cstheme="minorHAnsi"/>
              </w:rPr>
            </w:pPr>
            <w:r w:rsidRPr="009B0D49">
              <w:rPr>
                <w:rFonts w:cstheme="minorHAnsi"/>
              </w:rPr>
              <w:t>The ACIP recommends an oral cholera vaccine (</w:t>
            </w:r>
            <w:proofErr w:type="spellStart"/>
            <w:r w:rsidRPr="009B0D49">
              <w:rPr>
                <w:rFonts w:cstheme="minorHAnsi"/>
              </w:rPr>
              <w:t>Vaxchora</w:t>
            </w:r>
            <w:proofErr w:type="spellEnd"/>
            <w:r w:rsidRPr="009B0D49">
              <w:rPr>
                <w:rFonts w:cstheme="minorHAnsi"/>
              </w:rPr>
              <w:t>) for adult travelers (</w:t>
            </w:r>
            <w:r w:rsidRPr="009B0D49">
              <w:rPr>
                <w:rFonts w:cstheme="minorHAnsi"/>
                <w:b/>
              </w:rPr>
              <w:t>age 18–64 years</w:t>
            </w:r>
            <w:r w:rsidRPr="009B0D49">
              <w:rPr>
                <w:rFonts w:cstheme="minorHAnsi"/>
              </w:rPr>
              <w:t xml:space="preserve">) to an area of active cholera transmission.  </w:t>
            </w:r>
          </w:p>
          <w:p w:rsidR="003904D6" w:rsidRPr="009B0D49" w:rsidRDefault="003904D6" w:rsidP="003904D6">
            <w:pPr>
              <w:rPr>
                <w:rFonts w:cstheme="minorHAnsi"/>
              </w:rPr>
            </w:pPr>
            <w:proofErr w:type="spellStart"/>
            <w:r w:rsidRPr="009B0D49">
              <w:rPr>
                <w:rFonts w:cstheme="minorHAnsi"/>
              </w:rPr>
              <w:t>Vaxchora</w:t>
            </w:r>
            <w:proofErr w:type="spellEnd"/>
            <w:r w:rsidRPr="009B0D49">
              <w:rPr>
                <w:rFonts w:cstheme="minorHAnsi"/>
              </w:rPr>
              <w:t>:</w:t>
            </w:r>
          </w:p>
          <w:p w:rsidR="003904D6" w:rsidRPr="009B0D49" w:rsidRDefault="003904D6" w:rsidP="003904D6">
            <w:pPr>
              <w:pStyle w:val="ListParagraph"/>
              <w:numPr>
                <w:ilvl w:val="0"/>
                <w:numId w:val="17"/>
              </w:numPr>
              <w:rPr>
                <w:rFonts w:cstheme="minorHAnsi"/>
              </w:rPr>
            </w:pPr>
            <w:r w:rsidRPr="009B0D49">
              <w:rPr>
                <w:rFonts w:cstheme="minorHAnsi"/>
              </w:rPr>
              <w:t>is administered in a single oral dose</w:t>
            </w:r>
          </w:p>
          <w:p w:rsidR="003904D6" w:rsidRPr="009B0D49" w:rsidRDefault="003904D6" w:rsidP="003904D6">
            <w:pPr>
              <w:pStyle w:val="ListParagraph"/>
              <w:numPr>
                <w:ilvl w:val="0"/>
                <w:numId w:val="17"/>
              </w:numPr>
              <w:rPr>
                <w:rFonts w:cstheme="minorHAnsi"/>
              </w:rPr>
            </w:pPr>
            <w:r w:rsidRPr="009B0D49">
              <w:rPr>
                <w:rFonts w:cstheme="minorHAnsi"/>
              </w:rPr>
              <w:t>should be taken at least 10 days before potential cholera exposure.</w:t>
            </w:r>
          </w:p>
          <w:p w:rsidR="003904D6" w:rsidRPr="009B0D49" w:rsidRDefault="003904D6" w:rsidP="003904D6">
            <w:pPr>
              <w:pStyle w:val="ListParagraph"/>
              <w:numPr>
                <w:ilvl w:val="0"/>
                <w:numId w:val="17"/>
              </w:numPr>
              <w:rPr>
                <w:rFonts w:cstheme="minorHAnsi"/>
              </w:rPr>
            </w:pPr>
            <w:r w:rsidRPr="009B0D49">
              <w:rPr>
                <w:rFonts w:cstheme="minorHAnsi"/>
              </w:rPr>
              <w:t xml:space="preserve">eating or drinking should be avoided for 60 minutes before and after oral ingestion of </w:t>
            </w:r>
            <w:proofErr w:type="spellStart"/>
            <w:r w:rsidRPr="009B0D49">
              <w:rPr>
                <w:rFonts w:cstheme="minorHAnsi"/>
              </w:rPr>
              <w:t>Vaxchora</w:t>
            </w:r>
            <w:proofErr w:type="spellEnd"/>
            <w:r w:rsidRPr="009B0D49">
              <w:rPr>
                <w:rFonts w:cstheme="minorHAnsi"/>
              </w:rPr>
              <w:t xml:space="preserve">. </w:t>
            </w:r>
          </w:p>
          <w:p w:rsidR="008E637F" w:rsidRPr="009B0D49" w:rsidRDefault="003904D6" w:rsidP="003904D6">
            <w:pPr>
              <w:pStyle w:val="ListParagraph"/>
              <w:numPr>
                <w:ilvl w:val="0"/>
                <w:numId w:val="17"/>
              </w:numPr>
              <w:rPr>
                <w:rFonts w:cstheme="minorHAnsi"/>
              </w:rPr>
            </w:pPr>
            <w:r w:rsidRPr="009B0D49">
              <w:rPr>
                <w:rFonts w:cstheme="minorHAnsi"/>
              </w:rPr>
              <w:t>Should be prepared and administered in a health care setting equipped to dispose of medical waste</w:t>
            </w:r>
          </w:p>
        </w:tc>
      </w:tr>
      <w:tr w:rsidR="008E637F" w:rsidRPr="009B0D49" w:rsidTr="006D288F">
        <w:trPr>
          <w:trHeight w:val="311"/>
        </w:trPr>
        <w:tc>
          <w:tcPr>
            <w:tcW w:w="2335" w:type="dxa"/>
          </w:tcPr>
          <w:p w:rsidR="008E637F" w:rsidRPr="009B0D49" w:rsidRDefault="00F1101D" w:rsidP="00A3629B">
            <w:pPr>
              <w:rPr>
                <w:rFonts w:cstheme="minorHAnsi"/>
                <w:b/>
              </w:rPr>
            </w:pPr>
            <w:r w:rsidRPr="009B0D49">
              <w:rPr>
                <w:rFonts w:cstheme="minorHAnsi"/>
                <w:b/>
              </w:rPr>
              <w:t xml:space="preserve">Japanese Encephalitis </w:t>
            </w:r>
          </w:p>
        </w:tc>
        <w:tc>
          <w:tcPr>
            <w:tcW w:w="5084" w:type="dxa"/>
          </w:tcPr>
          <w:p w:rsidR="00F1101D" w:rsidRPr="009B0D49" w:rsidRDefault="00F1101D" w:rsidP="00F1101D">
            <w:pPr>
              <w:rPr>
                <w:rFonts w:cstheme="minorHAnsi"/>
                <w:i/>
              </w:rPr>
            </w:pPr>
            <w:r w:rsidRPr="009B0D49">
              <w:rPr>
                <w:rFonts w:cstheme="minorHAnsi"/>
                <w:i/>
              </w:rPr>
              <w:t>Recommended for the following groups:</w:t>
            </w:r>
          </w:p>
          <w:p w:rsidR="00F1101D" w:rsidRPr="009B0D49" w:rsidRDefault="00F1101D" w:rsidP="002E2776">
            <w:pPr>
              <w:pStyle w:val="ListParagraph"/>
              <w:numPr>
                <w:ilvl w:val="0"/>
                <w:numId w:val="20"/>
              </w:numPr>
              <w:ind w:left="360"/>
              <w:rPr>
                <w:rFonts w:cstheme="minorHAnsi"/>
                <w:i/>
              </w:rPr>
            </w:pPr>
            <w:r w:rsidRPr="009B0D49">
              <w:rPr>
                <w:rFonts w:cstheme="minorHAnsi"/>
              </w:rPr>
              <w:t xml:space="preserve">Long-term travelers (i.e. trips lasting a month or more) to </w:t>
            </w:r>
            <w:hyperlink r:id="rId17" w:history="1">
              <w:r w:rsidRPr="009B0D49">
                <w:rPr>
                  <w:rStyle w:val="Hyperlink"/>
                  <w:rFonts w:cstheme="minorHAnsi"/>
                </w:rPr>
                <w:t>endemic areas</w:t>
              </w:r>
            </w:hyperlink>
            <w:r w:rsidRPr="009B0D49">
              <w:rPr>
                <w:rFonts w:cstheme="minorHAnsi"/>
              </w:rPr>
              <w:t xml:space="preserve"> during Japanese encephalitis virus transmission season. </w:t>
            </w:r>
          </w:p>
          <w:p w:rsidR="00F1101D" w:rsidRPr="009B0D49" w:rsidRDefault="00F1101D" w:rsidP="00F1101D">
            <w:pPr>
              <w:rPr>
                <w:rFonts w:cstheme="minorHAnsi"/>
                <w:i/>
              </w:rPr>
            </w:pPr>
            <w:r w:rsidRPr="009B0D49">
              <w:rPr>
                <w:rFonts w:cstheme="minorHAnsi"/>
                <w:i/>
              </w:rPr>
              <w:t>Consider for the following groups:</w:t>
            </w:r>
          </w:p>
          <w:p w:rsidR="00F1101D" w:rsidRPr="009B0D49" w:rsidRDefault="00F1101D" w:rsidP="00F1101D">
            <w:pPr>
              <w:pStyle w:val="ListParagraph"/>
              <w:numPr>
                <w:ilvl w:val="0"/>
                <w:numId w:val="19"/>
              </w:numPr>
              <w:ind w:left="360"/>
              <w:rPr>
                <w:rFonts w:cstheme="minorHAnsi"/>
              </w:rPr>
            </w:pPr>
            <w:r w:rsidRPr="009B0D49">
              <w:rPr>
                <w:rFonts w:cstheme="minorHAnsi"/>
              </w:rPr>
              <w:t xml:space="preserve">Short-term (&lt;1 month) travelers to endemic areas during Japanese encephalitis virus </w:t>
            </w:r>
            <w:r w:rsidRPr="009B0D49">
              <w:rPr>
                <w:rFonts w:cstheme="minorHAnsi"/>
              </w:rPr>
              <w:lastRenderedPageBreak/>
              <w:t>transmission season if their itinerary or activities will increase their risk (e.g. spending substantial time outdoors in rural or agricultural areas; staying in accommodations without air conditioning, screens, or bed nets.)</w:t>
            </w:r>
          </w:p>
          <w:p w:rsidR="00F1101D" w:rsidRPr="009B0D49" w:rsidRDefault="00F1101D" w:rsidP="00F1101D">
            <w:pPr>
              <w:pStyle w:val="ListParagraph"/>
              <w:numPr>
                <w:ilvl w:val="0"/>
                <w:numId w:val="19"/>
              </w:numPr>
              <w:ind w:left="360"/>
              <w:rPr>
                <w:rFonts w:cstheme="minorHAnsi"/>
              </w:rPr>
            </w:pPr>
            <w:r w:rsidRPr="009B0D49">
              <w:rPr>
                <w:rFonts w:cstheme="minorHAnsi"/>
              </w:rPr>
              <w:t>Travelers to an area with an ongoing outbreak of Japanese encephalitis.</w:t>
            </w:r>
            <w:r w:rsidR="001B6F54" w:rsidRPr="009B0D49">
              <w:rPr>
                <w:rFonts w:cstheme="minorHAnsi"/>
              </w:rPr>
              <w:t xml:space="preserve"> </w:t>
            </w:r>
          </w:p>
          <w:p w:rsidR="008E637F" w:rsidRPr="009B0D49" w:rsidRDefault="00F1101D" w:rsidP="00F1101D">
            <w:pPr>
              <w:pStyle w:val="ListParagraph"/>
              <w:numPr>
                <w:ilvl w:val="0"/>
                <w:numId w:val="19"/>
              </w:numPr>
              <w:ind w:left="360"/>
              <w:rPr>
                <w:rFonts w:cstheme="minorHAnsi"/>
              </w:rPr>
            </w:pPr>
            <w:r w:rsidRPr="009B0D49">
              <w:rPr>
                <w:rFonts w:cstheme="minorHAnsi"/>
              </w:rPr>
              <w:t>Travelers to endemic areas who are uncertain of specific activities or duration of travel.</w:t>
            </w:r>
          </w:p>
        </w:tc>
        <w:tc>
          <w:tcPr>
            <w:tcW w:w="5531" w:type="dxa"/>
          </w:tcPr>
          <w:p w:rsidR="004D2239" w:rsidRPr="009B0D49" w:rsidRDefault="004D2239" w:rsidP="00A3629B">
            <w:pPr>
              <w:rPr>
                <w:rFonts w:cstheme="minorHAnsi"/>
              </w:rPr>
            </w:pPr>
            <w:r w:rsidRPr="009B0D49">
              <w:rPr>
                <w:rFonts w:cstheme="minorHAnsi"/>
              </w:rPr>
              <w:lastRenderedPageBreak/>
              <w:t xml:space="preserve">An </w:t>
            </w:r>
            <w:hyperlink r:id="rId18" w:history="1">
              <w:r w:rsidRPr="009B0D49">
                <w:rPr>
                  <w:rStyle w:val="Hyperlink"/>
                  <w:rFonts w:cstheme="minorHAnsi"/>
                </w:rPr>
                <w:t>inactivated Vero cell culture-derived JE virus vaccine (IXIARO)</w:t>
              </w:r>
            </w:hyperlink>
            <w:r w:rsidRPr="009B0D49">
              <w:rPr>
                <w:rFonts w:cstheme="minorHAnsi"/>
              </w:rPr>
              <w:t xml:space="preserve"> is approved and available in the US for use in adults and children 2 months and older.</w:t>
            </w:r>
          </w:p>
          <w:p w:rsidR="004D2239" w:rsidRPr="009B0D49" w:rsidRDefault="004D2239" w:rsidP="00A3629B">
            <w:pPr>
              <w:rPr>
                <w:rFonts w:cstheme="minorHAnsi"/>
              </w:rPr>
            </w:pPr>
          </w:p>
          <w:p w:rsidR="004D2239" w:rsidRPr="009B0D49" w:rsidRDefault="004D2239" w:rsidP="004D2239">
            <w:pPr>
              <w:rPr>
                <w:rFonts w:cstheme="minorHAnsi"/>
              </w:rPr>
            </w:pPr>
            <w:r w:rsidRPr="009B0D49">
              <w:rPr>
                <w:rFonts w:cstheme="minorHAnsi"/>
              </w:rPr>
              <w:t>The primary series for IXIARO is 2 doses administered 28 days apart:</w:t>
            </w:r>
          </w:p>
          <w:p w:rsidR="004D2239" w:rsidRPr="009B0D49" w:rsidRDefault="004D2239" w:rsidP="004D2239">
            <w:pPr>
              <w:pStyle w:val="ListParagraph"/>
              <w:numPr>
                <w:ilvl w:val="0"/>
                <w:numId w:val="21"/>
              </w:numPr>
              <w:ind w:left="360"/>
              <w:rPr>
                <w:rFonts w:cstheme="minorHAnsi"/>
              </w:rPr>
            </w:pPr>
            <w:r w:rsidRPr="009B0D49">
              <w:rPr>
                <w:rFonts w:cstheme="minorHAnsi"/>
              </w:rPr>
              <w:lastRenderedPageBreak/>
              <w:t xml:space="preserve">For adults and children aged ≥3 years, each dose is 0.5 </w:t>
            </w:r>
            <w:proofErr w:type="spellStart"/>
            <w:r w:rsidRPr="009B0D49">
              <w:rPr>
                <w:rFonts w:cstheme="minorHAnsi"/>
              </w:rPr>
              <w:t>mL.</w:t>
            </w:r>
            <w:proofErr w:type="spellEnd"/>
          </w:p>
          <w:p w:rsidR="004D2239" w:rsidRPr="009B0D49" w:rsidRDefault="004D2239" w:rsidP="004D2239">
            <w:pPr>
              <w:pStyle w:val="ListParagraph"/>
              <w:numPr>
                <w:ilvl w:val="0"/>
                <w:numId w:val="21"/>
              </w:numPr>
              <w:ind w:left="360"/>
              <w:rPr>
                <w:rFonts w:cstheme="minorHAnsi"/>
              </w:rPr>
            </w:pPr>
            <w:r w:rsidRPr="009B0D49">
              <w:rPr>
                <w:rFonts w:cstheme="minorHAnsi"/>
              </w:rPr>
              <w:t xml:space="preserve">For children aged 2 months through 2 years, each dose is 0.25 </w:t>
            </w:r>
            <w:proofErr w:type="spellStart"/>
            <w:r w:rsidRPr="009B0D49">
              <w:rPr>
                <w:rFonts w:cstheme="minorHAnsi"/>
              </w:rPr>
              <w:t>mL.</w:t>
            </w:r>
            <w:proofErr w:type="spellEnd"/>
            <w:r w:rsidRPr="009B0D49">
              <w:rPr>
                <w:rFonts w:cstheme="minorHAnsi"/>
              </w:rPr>
              <w:t xml:space="preserve"> To administer a 0.25-mL dose, health care providers must expel and discard half of the volume from the 0.5-mL prefilled syringe before injection. To enable this, the manufacturer has developed a prefilled syringe with a red line on the barrel to indicate the 0.25-mL point.</w:t>
            </w:r>
          </w:p>
        </w:tc>
      </w:tr>
      <w:tr w:rsidR="00CF76A5" w:rsidRPr="009B0D49" w:rsidTr="008515E3">
        <w:trPr>
          <w:trHeight w:val="3860"/>
        </w:trPr>
        <w:tc>
          <w:tcPr>
            <w:tcW w:w="2335" w:type="dxa"/>
          </w:tcPr>
          <w:p w:rsidR="00CF76A5" w:rsidRPr="009B0D49" w:rsidRDefault="00DB572E" w:rsidP="00A3629B">
            <w:pPr>
              <w:rPr>
                <w:rFonts w:cstheme="minorHAnsi"/>
                <w:b/>
              </w:rPr>
            </w:pPr>
            <w:r w:rsidRPr="009B0D49">
              <w:rPr>
                <w:rFonts w:cstheme="minorHAnsi"/>
                <w:b/>
              </w:rPr>
              <w:lastRenderedPageBreak/>
              <w:t>Typhoid</w:t>
            </w:r>
          </w:p>
        </w:tc>
        <w:tc>
          <w:tcPr>
            <w:tcW w:w="5084" w:type="dxa"/>
          </w:tcPr>
          <w:p w:rsidR="00CF76A5" w:rsidRPr="009B0D49" w:rsidRDefault="00DB572E" w:rsidP="00DB572E">
            <w:pPr>
              <w:rPr>
                <w:rFonts w:cstheme="minorHAnsi"/>
              </w:rPr>
            </w:pPr>
            <w:r w:rsidRPr="009B0D49">
              <w:rPr>
                <w:rFonts w:cstheme="minorHAnsi"/>
              </w:rPr>
              <w:t xml:space="preserve">Recommended for travelers to areas where there is an increased risk of exposure to </w:t>
            </w:r>
            <w:r w:rsidRPr="009B0D49">
              <w:rPr>
                <w:rFonts w:cstheme="minorHAnsi"/>
                <w:i/>
              </w:rPr>
              <w:t xml:space="preserve">Salmonella enterica </w:t>
            </w:r>
            <w:r w:rsidRPr="009B0D49">
              <w:rPr>
                <w:rFonts w:cstheme="minorHAnsi"/>
              </w:rPr>
              <w:t xml:space="preserve">serotype </w:t>
            </w:r>
            <w:r w:rsidRPr="009B0D49">
              <w:rPr>
                <w:rFonts w:cstheme="minorHAnsi"/>
                <w:i/>
              </w:rPr>
              <w:t xml:space="preserve">Typhi. </w:t>
            </w:r>
            <w:hyperlink r:id="rId19" w:history="1">
              <w:r w:rsidRPr="009B0D49">
                <w:rPr>
                  <w:rStyle w:val="Hyperlink"/>
                  <w:rFonts w:cstheme="minorHAnsi"/>
                </w:rPr>
                <w:t>Travelers' Health | CDC</w:t>
              </w:r>
            </w:hyperlink>
          </w:p>
          <w:p w:rsidR="00DB572E" w:rsidRPr="009B0D49" w:rsidRDefault="00DB572E" w:rsidP="00DB572E">
            <w:pPr>
              <w:rPr>
                <w:rFonts w:cstheme="minorHAnsi"/>
              </w:rPr>
            </w:pPr>
          </w:p>
          <w:p w:rsidR="00DB572E" w:rsidRPr="009B0D49" w:rsidRDefault="00DB572E" w:rsidP="008515E3">
            <w:pPr>
              <w:shd w:val="clear" w:color="auto" w:fill="FFFFFF"/>
              <w:spacing w:after="150" w:line="375" w:lineRule="atLeast"/>
              <w:rPr>
                <w:rFonts w:eastAsia="Times New Roman" w:cstheme="minorHAnsi"/>
                <w:color w:val="000000"/>
              </w:rPr>
            </w:pPr>
            <w:r w:rsidRPr="009B0D49">
              <w:rPr>
                <w:rFonts w:eastAsia="Times New Roman" w:cstheme="minorHAnsi"/>
                <w:color w:val="000000"/>
              </w:rPr>
              <w:t>Both typhoid vaccines protect 50%–80% of recipients; travelers should be reminded that typhoid immunization is not 100% effective, and typhoid fever could still occur. Available typhoid vaccines offer no protection against paratyphoid fever.</w:t>
            </w:r>
          </w:p>
        </w:tc>
        <w:tc>
          <w:tcPr>
            <w:tcW w:w="5531" w:type="dxa"/>
          </w:tcPr>
          <w:p w:rsidR="00DB572E" w:rsidRPr="009B0D49" w:rsidRDefault="00DB572E" w:rsidP="00DB572E">
            <w:pPr>
              <w:shd w:val="clear" w:color="auto" w:fill="FFFFFF"/>
              <w:spacing w:after="150" w:line="375" w:lineRule="atLeast"/>
              <w:rPr>
                <w:rFonts w:eastAsia="Times New Roman" w:cstheme="minorHAnsi"/>
                <w:color w:val="000000"/>
              </w:rPr>
            </w:pPr>
            <w:r w:rsidRPr="009B0D49">
              <w:rPr>
                <w:rFonts w:eastAsia="Times New Roman" w:cstheme="minorHAnsi"/>
                <w:color w:val="000000"/>
              </w:rPr>
              <w:t>Two typhoid vaccines are available in the United States:</w:t>
            </w:r>
          </w:p>
          <w:p w:rsidR="00E0462D" w:rsidRPr="009B0D49" w:rsidRDefault="00DB572E" w:rsidP="00E46F0F">
            <w:pPr>
              <w:pStyle w:val="ListParagraph"/>
              <w:numPr>
                <w:ilvl w:val="0"/>
                <w:numId w:val="22"/>
              </w:numPr>
              <w:shd w:val="clear" w:color="auto" w:fill="FFFFFF"/>
              <w:spacing w:before="100" w:beforeAutospacing="1" w:after="100" w:afterAutospacing="1" w:line="270" w:lineRule="atLeast"/>
              <w:ind w:left="375"/>
              <w:rPr>
                <w:rFonts w:eastAsia="Times New Roman" w:cstheme="minorHAnsi"/>
                <w:color w:val="000000"/>
              </w:rPr>
            </w:pPr>
            <w:r w:rsidRPr="009B0D49">
              <w:rPr>
                <w:rFonts w:eastAsia="Times New Roman" w:cstheme="minorHAnsi"/>
                <w:color w:val="000000"/>
              </w:rPr>
              <w:t>Vi capsular polysaccha</w:t>
            </w:r>
            <w:r w:rsidR="00AE7928" w:rsidRPr="009B0D49">
              <w:rPr>
                <w:rFonts w:eastAsia="Times New Roman" w:cstheme="minorHAnsi"/>
                <w:color w:val="000000"/>
              </w:rPr>
              <w:t>ride vaccine (</w:t>
            </w:r>
            <w:proofErr w:type="spellStart"/>
            <w:r w:rsidR="00AE7928" w:rsidRPr="009B0D49">
              <w:rPr>
                <w:rFonts w:eastAsia="Times New Roman" w:cstheme="minorHAnsi"/>
                <w:color w:val="000000"/>
              </w:rPr>
              <w:t>ViCPS</w:t>
            </w:r>
            <w:proofErr w:type="spellEnd"/>
            <w:r w:rsidR="00AE7928" w:rsidRPr="009B0D49">
              <w:rPr>
                <w:rFonts w:eastAsia="Times New Roman" w:cstheme="minorHAnsi"/>
                <w:color w:val="000000"/>
              </w:rPr>
              <w:t>) (</w:t>
            </w:r>
            <w:proofErr w:type="spellStart"/>
            <w:r w:rsidR="00AE7928" w:rsidRPr="009B0D49">
              <w:rPr>
                <w:rFonts w:eastAsia="Times New Roman" w:cstheme="minorHAnsi"/>
                <w:color w:val="000000"/>
              </w:rPr>
              <w:t>Typhim</w:t>
            </w:r>
            <w:proofErr w:type="spellEnd"/>
            <w:r w:rsidR="00AE7928" w:rsidRPr="009B0D49">
              <w:rPr>
                <w:rFonts w:eastAsia="Times New Roman" w:cstheme="minorHAnsi"/>
                <w:color w:val="000000"/>
              </w:rPr>
              <w:t xml:space="preserve"> Vi) for IM</w:t>
            </w:r>
            <w:r w:rsidRPr="009B0D49">
              <w:rPr>
                <w:rFonts w:eastAsia="Times New Roman" w:cstheme="minorHAnsi"/>
                <w:color w:val="000000"/>
              </w:rPr>
              <w:t xml:space="preserve"> use</w:t>
            </w:r>
            <w:r w:rsidR="00E0462D" w:rsidRPr="009B0D49">
              <w:rPr>
                <w:rFonts w:eastAsia="Times New Roman" w:cstheme="minorHAnsi"/>
                <w:color w:val="000000"/>
              </w:rPr>
              <w:t xml:space="preserve"> (≥ 2 years age)</w:t>
            </w:r>
          </w:p>
          <w:p w:rsidR="00DB572E" w:rsidRPr="009B0D49" w:rsidRDefault="00DB572E" w:rsidP="00E46F0F">
            <w:pPr>
              <w:pStyle w:val="ListParagraph"/>
              <w:numPr>
                <w:ilvl w:val="0"/>
                <w:numId w:val="22"/>
              </w:numPr>
              <w:shd w:val="clear" w:color="auto" w:fill="FFFFFF"/>
              <w:spacing w:before="100" w:beforeAutospacing="1" w:after="100" w:afterAutospacing="1" w:line="270" w:lineRule="atLeast"/>
              <w:ind w:left="375"/>
              <w:rPr>
                <w:rFonts w:eastAsia="Times New Roman" w:cstheme="minorHAnsi"/>
                <w:color w:val="000000"/>
              </w:rPr>
            </w:pPr>
            <w:r w:rsidRPr="009B0D49">
              <w:rPr>
                <w:rFonts w:eastAsia="Times New Roman" w:cstheme="minorHAnsi"/>
                <w:color w:val="000000"/>
              </w:rPr>
              <w:t xml:space="preserve">Oral </w:t>
            </w:r>
            <w:r w:rsidR="00AE7928" w:rsidRPr="009B0D49">
              <w:rPr>
                <w:rFonts w:eastAsia="Times New Roman" w:cstheme="minorHAnsi"/>
                <w:color w:val="000000"/>
              </w:rPr>
              <w:t xml:space="preserve">Ty21a </w:t>
            </w:r>
            <w:r w:rsidRPr="009B0D49">
              <w:rPr>
                <w:rFonts w:eastAsia="Times New Roman" w:cstheme="minorHAnsi"/>
                <w:color w:val="000000"/>
              </w:rPr>
              <w:t>l</w:t>
            </w:r>
            <w:r w:rsidR="00AE7928" w:rsidRPr="009B0D49">
              <w:rPr>
                <w:rFonts w:eastAsia="Times New Roman" w:cstheme="minorHAnsi"/>
                <w:color w:val="000000"/>
              </w:rPr>
              <w:t>ive attenuated vaccine (</w:t>
            </w:r>
            <w:proofErr w:type="spellStart"/>
            <w:r w:rsidR="00AE7928" w:rsidRPr="009B0D49">
              <w:rPr>
                <w:rFonts w:eastAsia="Times New Roman" w:cstheme="minorHAnsi"/>
                <w:color w:val="000000"/>
              </w:rPr>
              <w:t>Vivotif</w:t>
            </w:r>
            <w:proofErr w:type="spellEnd"/>
            <w:r w:rsidRPr="009B0D49">
              <w:rPr>
                <w:rFonts w:eastAsia="Times New Roman" w:cstheme="minorHAnsi"/>
                <w:color w:val="000000"/>
              </w:rPr>
              <w:t>)</w:t>
            </w:r>
            <w:r w:rsidR="00E0462D" w:rsidRPr="009B0D49">
              <w:rPr>
                <w:rFonts w:eastAsia="Times New Roman" w:cstheme="minorHAnsi"/>
                <w:color w:val="000000"/>
              </w:rPr>
              <w:t xml:space="preserve"> (≥ 6 years age) </w:t>
            </w:r>
          </w:p>
          <w:p w:rsidR="00E0462D" w:rsidRPr="009B0D49" w:rsidRDefault="00E0462D" w:rsidP="00E0462D">
            <w:pPr>
              <w:pStyle w:val="ListParagraph"/>
              <w:shd w:val="clear" w:color="auto" w:fill="FFFFFF"/>
              <w:spacing w:before="100" w:beforeAutospacing="1" w:after="100" w:afterAutospacing="1" w:line="270" w:lineRule="atLeast"/>
              <w:ind w:left="15"/>
              <w:rPr>
                <w:rFonts w:eastAsia="Times New Roman" w:cstheme="minorHAnsi"/>
                <w:color w:val="000000"/>
              </w:rPr>
            </w:pPr>
            <w:r w:rsidRPr="009B0D49">
              <w:rPr>
                <w:rFonts w:eastAsia="Times New Roman" w:cstheme="minorHAnsi"/>
                <w:color w:val="000000"/>
              </w:rPr>
              <w:t xml:space="preserve">Copy and paste the link below for vaccine dosage, administration, and revaccination information. </w:t>
            </w:r>
          </w:p>
          <w:p w:rsidR="00E0462D" w:rsidRPr="009B0D49" w:rsidRDefault="00E0462D" w:rsidP="00E0462D">
            <w:pPr>
              <w:pStyle w:val="ListParagraph"/>
              <w:shd w:val="clear" w:color="auto" w:fill="FFFFFF"/>
              <w:spacing w:before="100" w:beforeAutospacing="1" w:after="100" w:afterAutospacing="1" w:line="270" w:lineRule="atLeast"/>
              <w:ind w:left="15"/>
              <w:rPr>
                <w:rFonts w:eastAsia="Times New Roman" w:cstheme="minorHAnsi"/>
                <w:color w:val="000000"/>
              </w:rPr>
            </w:pPr>
            <w:r w:rsidRPr="009B0D49">
              <w:rPr>
                <w:rFonts w:eastAsia="Times New Roman" w:cstheme="minorHAnsi"/>
                <w:color w:val="000000"/>
              </w:rPr>
              <w:t>https://wwwnc.cdc.gov/travel/yellowbook/2018/infectious-diseases-related-to-travel/typhoid-paratyphoid-fever#5281</w:t>
            </w:r>
          </w:p>
          <w:p w:rsidR="00CF76A5" w:rsidRPr="009B0D49" w:rsidRDefault="00CF76A5" w:rsidP="00DB572E">
            <w:pPr>
              <w:shd w:val="clear" w:color="auto" w:fill="FFFFFF"/>
              <w:spacing w:after="150" w:line="375" w:lineRule="atLeast"/>
              <w:rPr>
                <w:rFonts w:cstheme="minorHAnsi"/>
              </w:rPr>
            </w:pPr>
          </w:p>
        </w:tc>
      </w:tr>
      <w:tr w:rsidR="006D288F" w:rsidRPr="009B0D49" w:rsidTr="006D288F">
        <w:trPr>
          <w:trHeight w:val="311"/>
        </w:trPr>
        <w:tc>
          <w:tcPr>
            <w:tcW w:w="2335" w:type="dxa"/>
          </w:tcPr>
          <w:p w:rsidR="006D288F" w:rsidRPr="009B0D49" w:rsidRDefault="006D288F" w:rsidP="00A3629B">
            <w:pPr>
              <w:rPr>
                <w:rFonts w:cstheme="minorHAnsi"/>
                <w:b/>
              </w:rPr>
            </w:pPr>
            <w:r w:rsidRPr="009B0D49">
              <w:rPr>
                <w:rFonts w:cstheme="minorHAnsi"/>
                <w:b/>
              </w:rPr>
              <w:t xml:space="preserve">Meningococcus </w:t>
            </w:r>
          </w:p>
        </w:tc>
        <w:tc>
          <w:tcPr>
            <w:tcW w:w="5084" w:type="dxa"/>
          </w:tcPr>
          <w:p w:rsidR="006D288F" w:rsidRPr="009B0D49" w:rsidRDefault="008515E3" w:rsidP="00DB572E">
            <w:pPr>
              <w:rPr>
                <w:rFonts w:cstheme="minorHAnsi"/>
              </w:rPr>
            </w:pPr>
            <w:r w:rsidRPr="009B0D49">
              <w:rPr>
                <w:rFonts w:cstheme="minorHAnsi"/>
              </w:rPr>
              <w:t xml:space="preserve">ACIP recommends that travelers who visit or reside in parts of sub-Saharan Africa known as the “meningitis belt” </w:t>
            </w:r>
            <w:hyperlink r:id="rId20" w:history="1">
              <w:r w:rsidRPr="009B0D49">
                <w:rPr>
                  <w:rStyle w:val="Hyperlink"/>
                  <w:rFonts w:cstheme="minorHAnsi"/>
                </w:rPr>
                <w:t>(see Map 3-11)</w:t>
              </w:r>
            </w:hyperlink>
            <w:r w:rsidRPr="009B0D49">
              <w:rPr>
                <w:rFonts w:cstheme="minorHAnsi"/>
              </w:rPr>
              <w:t xml:space="preserve"> during the dry season (December–June) receive vaccination with a quadrivalent (serogroup A, C, W, or Y) meningococcal vaccine before travel.</w:t>
            </w:r>
          </w:p>
          <w:p w:rsidR="009A31DD" w:rsidRPr="009B0D49" w:rsidRDefault="009A31DD" w:rsidP="009A31DD">
            <w:pPr>
              <w:rPr>
                <w:rFonts w:cstheme="minorHAnsi"/>
              </w:rPr>
            </w:pPr>
            <w:r w:rsidRPr="009B0D49">
              <w:rPr>
                <w:rFonts w:cstheme="minorHAnsi"/>
              </w:rPr>
              <w:t xml:space="preserve">Advisories for travelers to other countries are issued when outbreaks of meningococcal disease are recognized </w:t>
            </w:r>
            <w:hyperlink r:id="rId21" w:history="1">
              <w:r w:rsidRPr="009B0D49">
                <w:rPr>
                  <w:rStyle w:val="Hyperlink"/>
                  <w:rFonts w:cstheme="minorHAnsi"/>
                </w:rPr>
                <w:t>Travelers' Health | CDC</w:t>
              </w:r>
            </w:hyperlink>
          </w:p>
        </w:tc>
        <w:tc>
          <w:tcPr>
            <w:tcW w:w="5531" w:type="dxa"/>
          </w:tcPr>
          <w:p w:rsidR="006D288F" w:rsidRPr="009B0D49" w:rsidRDefault="001E6A1A" w:rsidP="009A31DD">
            <w:pPr>
              <w:shd w:val="clear" w:color="auto" w:fill="FFFFFF"/>
              <w:spacing w:after="150" w:line="375" w:lineRule="atLeast"/>
              <w:rPr>
                <w:rFonts w:eastAsia="Times New Roman" w:cstheme="minorHAnsi"/>
                <w:color w:val="000000"/>
              </w:rPr>
            </w:pPr>
            <w:r w:rsidRPr="009B0D49">
              <w:rPr>
                <w:rFonts w:cstheme="minorHAnsi"/>
                <w:color w:val="333333"/>
              </w:rPr>
              <w:t xml:space="preserve">Please refer to </w:t>
            </w:r>
            <w:hyperlink r:id="rId22" w:anchor="4670" w:history="1">
              <w:r w:rsidRPr="009B0D49">
                <w:rPr>
                  <w:rFonts w:cstheme="minorHAnsi"/>
                  <w:color w:val="075290"/>
                  <w:u w:val="single"/>
                </w:rPr>
                <w:t>Meningococcal Disease</w:t>
              </w:r>
              <w:r w:rsidRPr="009B0D49">
                <w:rPr>
                  <w:rFonts w:cstheme="minorHAnsi"/>
                  <w:vanish/>
                  <w:color w:val="075290"/>
                  <w:u w:val="single"/>
                </w:rPr>
                <w:t>(https://wwwnc.cdc.gov/travel/yellowbook/2016/infectious-diseases-related-to-travel/meningococcal-disease#4670)</w:t>
              </w:r>
            </w:hyperlink>
            <w:r w:rsidRPr="009B0D49">
              <w:rPr>
                <w:rFonts w:cstheme="minorHAnsi"/>
                <w:color w:val="333333"/>
              </w:rPr>
              <w:t xml:space="preserve"> in </w:t>
            </w:r>
            <w:r w:rsidRPr="009B0D49">
              <w:rPr>
                <w:rFonts w:cstheme="minorHAnsi"/>
                <w:i/>
                <w:iCs/>
                <w:color w:val="333333"/>
              </w:rPr>
              <w:t>CDC Health Information for International Travelers</w:t>
            </w:r>
            <w:r w:rsidRPr="009B0D49">
              <w:rPr>
                <w:rFonts w:cstheme="minorHAnsi"/>
                <w:color w:val="333333"/>
              </w:rPr>
              <w:t xml:space="preserve"> – “Yellow Book” for up-to-date vaccine information (routine and travel related)</w:t>
            </w:r>
          </w:p>
        </w:tc>
      </w:tr>
      <w:tr w:rsidR="00E03DDA" w:rsidRPr="009B0D49" w:rsidTr="006D288F">
        <w:trPr>
          <w:trHeight w:val="311"/>
        </w:trPr>
        <w:tc>
          <w:tcPr>
            <w:tcW w:w="2335" w:type="dxa"/>
          </w:tcPr>
          <w:p w:rsidR="00E03DDA" w:rsidRPr="009B0D49" w:rsidRDefault="00E03DDA" w:rsidP="00A3629B">
            <w:pPr>
              <w:rPr>
                <w:rFonts w:cstheme="minorHAnsi"/>
                <w:b/>
              </w:rPr>
            </w:pPr>
            <w:r w:rsidRPr="009B0D49">
              <w:rPr>
                <w:rFonts w:cstheme="minorHAnsi"/>
                <w:b/>
              </w:rPr>
              <w:lastRenderedPageBreak/>
              <w:t xml:space="preserve">Yellow Fever </w:t>
            </w:r>
          </w:p>
        </w:tc>
        <w:tc>
          <w:tcPr>
            <w:tcW w:w="5084" w:type="dxa"/>
          </w:tcPr>
          <w:p w:rsidR="00E03DDA" w:rsidRPr="009B0D49" w:rsidRDefault="00E03DDA" w:rsidP="00E03DDA">
            <w:pPr>
              <w:shd w:val="clear" w:color="auto" w:fill="FFFFFF"/>
              <w:spacing w:before="100" w:beforeAutospacing="1" w:after="100" w:afterAutospacing="1" w:line="375" w:lineRule="atLeast"/>
              <w:rPr>
                <w:rFonts w:eastAsia="Times New Roman" w:cstheme="minorHAnsi"/>
                <w:color w:val="000000"/>
              </w:rPr>
            </w:pPr>
            <w:r w:rsidRPr="009B0D49">
              <w:rPr>
                <w:rFonts w:eastAsia="Times New Roman" w:cstheme="minorHAnsi"/>
                <w:color w:val="000000"/>
              </w:rPr>
              <w:t>Travelers should get yellow fever vaccine at least 10 days before travel.</w:t>
            </w:r>
          </w:p>
          <w:p w:rsidR="00E03DDA" w:rsidRPr="009B0D49" w:rsidRDefault="00E03DDA" w:rsidP="00E03DDA">
            <w:pPr>
              <w:shd w:val="clear" w:color="auto" w:fill="FFFFFF"/>
              <w:spacing w:before="100" w:beforeAutospacing="1" w:after="100" w:afterAutospacing="1" w:line="375" w:lineRule="atLeast"/>
              <w:rPr>
                <w:rFonts w:cstheme="minorHAnsi"/>
                <w:color w:val="000000"/>
              </w:rPr>
            </w:pPr>
            <w:r w:rsidRPr="009B0D49">
              <w:rPr>
                <w:rFonts w:cstheme="minorHAnsi"/>
                <w:color w:val="000000"/>
              </w:rPr>
              <w:t>Because US-licensed yellow fever vaccine is out of stock, a </w:t>
            </w:r>
            <w:hyperlink r:id="rId23" w:history="1">
              <w:r w:rsidRPr="009B0D49">
                <w:rPr>
                  <w:rStyle w:val="Hyperlink"/>
                  <w:rFonts w:cstheme="minorHAnsi"/>
                  <w:color w:val="075290"/>
                </w:rPr>
                <w:t>limited number of clinics in the United States</w:t>
              </w:r>
            </w:hyperlink>
            <w:r w:rsidRPr="009B0D49">
              <w:rPr>
                <w:rFonts w:cstheme="minorHAnsi"/>
                <w:color w:val="000000"/>
              </w:rPr>
              <w:t xml:space="preserve"> are now offering an equally safe and effective alternate vaccine, </w:t>
            </w:r>
            <w:proofErr w:type="spellStart"/>
            <w:r w:rsidRPr="009B0D49">
              <w:rPr>
                <w:rFonts w:cstheme="minorHAnsi"/>
                <w:color w:val="000000"/>
              </w:rPr>
              <w:t>Stamaril</w:t>
            </w:r>
            <w:proofErr w:type="spellEnd"/>
            <w:r w:rsidRPr="009B0D49">
              <w:rPr>
                <w:rFonts w:cstheme="minorHAnsi"/>
                <w:color w:val="000000"/>
              </w:rPr>
              <w:t xml:space="preserve">. The nearest </w:t>
            </w:r>
            <w:proofErr w:type="spellStart"/>
            <w:r w:rsidRPr="009B0D49">
              <w:rPr>
                <w:rFonts w:cstheme="minorHAnsi"/>
                <w:color w:val="000000"/>
              </w:rPr>
              <w:t>Stamaril</w:t>
            </w:r>
            <w:proofErr w:type="spellEnd"/>
            <w:r w:rsidRPr="009B0D49">
              <w:rPr>
                <w:rFonts w:cstheme="minorHAnsi"/>
                <w:color w:val="000000"/>
              </w:rPr>
              <w:t xml:space="preserve"> clinic may be some distance away and appointments may be limited.</w:t>
            </w:r>
          </w:p>
          <w:p w:rsidR="00E03DDA" w:rsidRPr="009B0D49" w:rsidRDefault="00E03DDA" w:rsidP="00E03DDA">
            <w:pPr>
              <w:shd w:val="clear" w:color="auto" w:fill="FFFFFF"/>
              <w:spacing w:before="100" w:beforeAutospacing="1" w:after="100" w:afterAutospacing="1" w:line="375" w:lineRule="atLeast"/>
              <w:rPr>
                <w:rFonts w:eastAsia="Times New Roman" w:cstheme="minorHAnsi"/>
                <w:color w:val="000000"/>
              </w:rPr>
            </w:pPr>
          </w:p>
          <w:p w:rsidR="00E03DDA" w:rsidRPr="009B0D49" w:rsidRDefault="00E03DDA" w:rsidP="00DB572E">
            <w:pPr>
              <w:rPr>
                <w:rFonts w:cstheme="minorHAnsi"/>
              </w:rPr>
            </w:pPr>
          </w:p>
        </w:tc>
        <w:tc>
          <w:tcPr>
            <w:tcW w:w="5531" w:type="dxa"/>
          </w:tcPr>
          <w:p w:rsidR="00E03DDA" w:rsidRPr="009B0D49" w:rsidRDefault="00E03DDA" w:rsidP="00E03DDA">
            <w:pPr>
              <w:shd w:val="clear" w:color="auto" w:fill="FFFFFF"/>
              <w:spacing w:after="150" w:line="375" w:lineRule="atLeast"/>
              <w:rPr>
                <w:rFonts w:cstheme="minorHAnsi"/>
                <w:color w:val="333333"/>
              </w:rPr>
            </w:pPr>
            <w:r w:rsidRPr="009B0D49">
              <w:rPr>
                <w:rFonts w:cstheme="minorHAnsi"/>
                <w:color w:val="333333"/>
              </w:rPr>
              <w:t xml:space="preserve">Yellow fever vaccine is recommended for people aged ≥9 months who are traveling to or living in areas with risk for YFV transmission in South America and Africa. In addition, some countries require proof of yellow fever vaccination for entry. See the </w:t>
            </w:r>
            <w:hyperlink r:id="rId24" w:history="1">
              <w:r w:rsidRPr="009B0D49">
                <w:rPr>
                  <w:rFonts w:cstheme="minorHAnsi"/>
                  <w:color w:val="075290"/>
                  <w:u w:val="single"/>
                </w:rPr>
                <w:t>Yellow Fever &amp; Malaria Information, by Country</w:t>
              </w:r>
              <w:r w:rsidRPr="009B0D49">
                <w:rPr>
                  <w:rFonts w:cstheme="minorHAnsi"/>
                  <w:vanish/>
                  <w:color w:val="075290"/>
                  <w:u w:val="single"/>
                </w:rPr>
                <w:t>(https://wwwnc.cdc.gov/travel/yellowbook/2018/infectious-diseases-related-to-travel/yellow-fever-malaria-information-by-country)</w:t>
              </w:r>
            </w:hyperlink>
          </w:p>
          <w:p w:rsidR="00E03DDA" w:rsidRPr="009B0D49" w:rsidRDefault="00E03DDA" w:rsidP="00E03DDA">
            <w:pPr>
              <w:shd w:val="clear" w:color="auto" w:fill="FFFFFF"/>
              <w:spacing w:after="150" w:line="375" w:lineRule="atLeast"/>
              <w:rPr>
                <w:rFonts w:cstheme="minorHAnsi"/>
                <w:color w:val="333333"/>
              </w:rPr>
            </w:pPr>
            <w:r w:rsidRPr="009B0D49">
              <w:rPr>
                <w:rFonts w:cstheme="minorHAnsi"/>
                <w:color w:val="333333"/>
              </w:rPr>
              <w:t>For all eligible people, a single injection of reconstituted vaccine should be administered subcutaneousl</w:t>
            </w:r>
            <w:r w:rsidR="001175F3" w:rsidRPr="009B0D49">
              <w:rPr>
                <w:rFonts w:cstheme="minorHAnsi"/>
                <w:color w:val="333333"/>
              </w:rPr>
              <w:t>y.</w:t>
            </w:r>
          </w:p>
          <w:p w:rsidR="001175F3" w:rsidRPr="009B0D49" w:rsidRDefault="00FC401D" w:rsidP="001175F3">
            <w:pPr>
              <w:shd w:val="clear" w:color="auto" w:fill="FFFFFF"/>
              <w:spacing w:after="150" w:line="375" w:lineRule="atLeast"/>
              <w:rPr>
                <w:rFonts w:cstheme="minorHAnsi"/>
              </w:rPr>
            </w:pPr>
            <w:hyperlink r:id="rId25" w:history="1">
              <w:r w:rsidR="001175F3" w:rsidRPr="009B0D49">
                <w:rPr>
                  <w:rStyle w:val="Hyperlink"/>
                  <w:rFonts w:cstheme="minorHAnsi"/>
                  <w:b/>
                </w:rPr>
                <w:t>YF vaccine contraindications:</w:t>
              </w:r>
            </w:hyperlink>
            <w:r w:rsidR="001175F3" w:rsidRPr="009B0D49">
              <w:rPr>
                <w:rFonts w:cstheme="minorHAnsi"/>
                <w:color w:val="333333"/>
              </w:rPr>
              <w:t xml:space="preserve"> allergy to vaccine component, age &lt; 6 months, symptomatic HIV infection or CD4 T-lymphocytes &lt;200/mm3 (or &lt;15% of total in children aged &lt;6 years, thymus disorder associated with abnormal immune-cell function, primary immunodeficiencies, malignant neoplasms, transplantation, immunosuppressive and immunomodulatory therapies.  </w:t>
            </w:r>
            <w:r w:rsidR="001175F3" w:rsidRPr="009B0D49">
              <w:rPr>
                <w:rFonts w:cstheme="minorHAnsi"/>
                <w:b/>
                <w:color w:val="333333"/>
              </w:rPr>
              <w:t>YF vaccine precautions</w:t>
            </w:r>
            <w:r w:rsidR="001175F3" w:rsidRPr="009B0D49">
              <w:rPr>
                <w:rFonts w:cstheme="minorHAnsi"/>
                <w:color w:val="333333"/>
              </w:rPr>
              <w:t xml:space="preserve"> include: age 6-8 months, age ≥ 60 years, asymptomatic HIV infection and CD4 T-lymphocytes 200–499/mm3 (or 15%–24% of total in children aged &lt;6 years, pregnancy, and breastfeeding. </w:t>
            </w:r>
          </w:p>
        </w:tc>
      </w:tr>
      <w:tr w:rsidR="001175F3" w:rsidRPr="009B0D49" w:rsidTr="006D288F">
        <w:trPr>
          <w:trHeight w:val="311"/>
        </w:trPr>
        <w:tc>
          <w:tcPr>
            <w:tcW w:w="2335" w:type="dxa"/>
          </w:tcPr>
          <w:p w:rsidR="001175F3" w:rsidRPr="009B0D49" w:rsidRDefault="001175F3" w:rsidP="00A3629B">
            <w:pPr>
              <w:rPr>
                <w:rFonts w:cstheme="minorHAnsi"/>
                <w:b/>
              </w:rPr>
            </w:pPr>
            <w:r w:rsidRPr="009B0D49">
              <w:rPr>
                <w:rFonts w:cstheme="minorHAnsi"/>
                <w:b/>
              </w:rPr>
              <w:t>Rabies</w:t>
            </w:r>
          </w:p>
        </w:tc>
        <w:tc>
          <w:tcPr>
            <w:tcW w:w="5084" w:type="dxa"/>
          </w:tcPr>
          <w:p w:rsidR="001175F3" w:rsidRPr="009B0D49" w:rsidRDefault="001175F3" w:rsidP="001E6A1A">
            <w:pPr>
              <w:shd w:val="clear" w:color="auto" w:fill="FFFFFF"/>
              <w:spacing w:after="150" w:line="270" w:lineRule="atLeast"/>
              <w:rPr>
                <w:rFonts w:cstheme="minorHAnsi"/>
                <w:color w:val="000000"/>
                <w:shd w:val="clear" w:color="auto" w:fill="FFFFFF"/>
              </w:rPr>
            </w:pPr>
            <w:proofErr w:type="spellStart"/>
            <w:r w:rsidRPr="009B0D49">
              <w:rPr>
                <w:rFonts w:cstheme="minorHAnsi"/>
                <w:color w:val="000000"/>
                <w:shd w:val="clear" w:color="auto" w:fill="FFFFFF"/>
              </w:rPr>
              <w:t>Preexposure</w:t>
            </w:r>
            <w:proofErr w:type="spellEnd"/>
            <w:r w:rsidRPr="009B0D49">
              <w:rPr>
                <w:rFonts w:cstheme="minorHAnsi"/>
                <w:color w:val="000000"/>
                <w:shd w:val="clear" w:color="auto" w:fill="FFFFFF"/>
              </w:rPr>
              <w:t xml:space="preserve"> rabies vaccination may be recommended for certain international travelers based on the occurrence of animal rabies in the </w:t>
            </w:r>
            <w:hyperlink r:id="rId26" w:history="1">
              <w:r w:rsidRPr="009B0D49">
                <w:rPr>
                  <w:rStyle w:val="Hyperlink"/>
                  <w:rFonts w:cstheme="minorHAnsi"/>
                  <w:shd w:val="clear" w:color="auto" w:fill="FFFFFF"/>
                </w:rPr>
                <w:t>country of destination</w:t>
              </w:r>
            </w:hyperlink>
            <w:r w:rsidRPr="009B0D49">
              <w:rPr>
                <w:rFonts w:cstheme="minorHAnsi"/>
                <w:color w:val="000000"/>
                <w:shd w:val="clear" w:color="auto" w:fill="FFFFFF"/>
              </w:rPr>
              <w:t xml:space="preserve">; the availability of </w:t>
            </w:r>
            <w:proofErr w:type="spellStart"/>
            <w:r w:rsidRPr="009B0D49">
              <w:rPr>
                <w:rFonts w:cstheme="minorHAnsi"/>
                <w:color w:val="000000"/>
                <w:shd w:val="clear" w:color="auto" w:fill="FFFFFF"/>
              </w:rPr>
              <w:t>antirabies</w:t>
            </w:r>
            <w:proofErr w:type="spellEnd"/>
            <w:r w:rsidRPr="009B0D49">
              <w:rPr>
                <w:rFonts w:cstheme="minorHAnsi"/>
                <w:color w:val="000000"/>
                <w:shd w:val="clear" w:color="auto" w:fill="FFFFFF"/>
              </w:rPr>
              <w:t xml:space="preserve"> biologics; the intended activities of the traveler, </w:t>
            </w:r>
            <w:r w:rsidRPr="009B0D49">
              <w:rPr>
                <w:rFonts w:cstheme="minorHAnsi"/>
                <w:color w:val="000000"/>
                <w:shd w:val="clear" w:color="auto" w:fill="FFFFFF"/>
              </w:rPr>
              <w:lastRenderedPageBreak/>
              <w:t>especially in remote areas; and the traveler’s duration of stay</w:t>
            </w:r>
            <w:r w:rsidR="001E6A1A" w:rsidRPr="009B0D49">
              <w:rPr>
                <w:rFonts w:cstheme="minorHAnsi"/>
                <w:color w:val="000000"/>
                <w:shd w:val="clear" w:color="auto" w:fill="FFFFFF"/>
              </w:rPr>
              <w:t>.</w:t>
            </w:r>
          </w:p>
          <w:p w:rsidR="001175F3" w:rsidRPr="009B0D49" w:rsidRDefault="001175F3" w:rsidP="00E03DDA">
            <w:pPr>
              <w:shd w:val="clear" w:color="auto" w:fill="FFFFFF"/>
              <w:spacing w:before="100" w:beforeAutospacing="1" w:after="100" w:afterAutospacing="1" w:line="375" w:lineRule="atLeast"/>
              <w:rPr>
                <w:rFonts w:eastAsia="Times New Roman" w:cstheme="minorHAnsi"/>
                <w:color w:val="000000"/>
              </w:rPr>
            </w:pPr>
          </w:p>
        </w:tc>
        <w:tc>
          <w:tcPr>
            <w:tcW w:w="5531" w:type="dxa"/>
          </w:tcPr>
          <w:p w:rsidR="001E6A1A" w:rsidRPr="009B0D49" w:rsidRDefault="001175F3" w:rsidP="00E03DDA">
            <w:pPr>
              <w:shd w:val="clear" w:color="auto" w:fill="FFFFFF"/>
              <w:spacing w:after="150" w:line="375" w:lineRule="atLeast"/>
              <w:rPr>
                <w:rFonts w:cstheme="minorHAnsi"/>
                <w:color w:val="000000"/>
                <w:shd w:val="clear" w:color="auto" w:fill="FFFFFF"/>
              </w:rPr>
            </w:pPr>
            <w:r w:rsidRPr="009B0D49">
              <w:rPr>
                <w:rFonts w:cstheme="minorHAnsi"/>
                <w:color w:val="000000"/>
                <w:shd w:val="clear" w:color="auto" w:fill="FFFFFF"/>
              </w:rPr>
              <w:lastRenderedPageBreak/>
              <w:t xml:space="preserve">In the United States, </w:t>
            </w:r>
            <w:proofErr w:type="spellStart"/>
            <w:r w:rsidRPr="009B0D49">
              <w:rPr>
                <w:rFonts w:cstheme="minorHAnsi"/>
                <w:color w:val="000000"/>
                <w:shd w:val="clear" w:color="auto" w:fill="FFFFFF"/>
              </w:rPr>
              <w:t>preexposure</w:t>
            </w:r>
            <w:proofErr w:type="spellEnd"/>
            <w:r w:rsidRPr="009B0D49">
              <w:rPr>
                <w:rFonts w:cstheme="minorHAnsi"/>
                <w:color w:val="000000"/>
                <w:shd w:val="clear" w:color="auto" w:fill="FFFFFF"/>
              </w:rPr>
              <w:t xml:space="preserve"> vaccination consists of a series of 3 intramuscular injections given on days 0, 7, and 21 or 28 in the deltoid with human diploid cell rabies vaccine (HDCV) or purified ch</w:t>
            </w:r>
            <w:r w:rsidR="001E6A1A" w:rsidRPr="009B0D49">
              <w:rPr>
                <w:rFonts w:cstheme="minorHAnsi"/>
                <w:color w:val="000000"/>
                <w:shd w:val="clear" w:color="auto" w:fill="FFFFFF"/>
              </w:rPr>
              <w:t>ick embryo cell (PCEC) vaccine</w:t>
            </w:r>
            <w:r w:rsidRPr="009B0D49">
              <w:rPr>
                <w:rFonts w:cstheme="minorHAnsi"/>
                <w:color w:val="000000"/>
                <w:shd w:val="clear" w:color="auto" w:fill="FFFFFF"/>
              </w:rPr>
              <w:t xml:space="preserve">. Travelers should receive all 3 </w:t>
            </w:r>
            <w:proofErr w:type="spellStart"/>
            <w:r w:rsidRPr="009B0D49">
              <w:rPr>
                <w:rFonts w:cstheme="minorHAnsi"/>
                <w:color w:val="000000"/>
                <w:shd w:val="clear" w:color="auto" w:fill="FFFFFF"/>
              </w:rPr>
              <w:t>preexposure</w:t>
            </w:r>
            <w:proofErr w:type="spellEnd"/>
            <w:r w:rsidRPr="009B0D49">
              <w:rPr>
                <w:rFonts w:cstheme="minorHAnsi"/>
                <w:color w:val="000000"/>
                <w:shd w:val="clear" w:color="auto" w:fill="FFFFFF"/>
              </w:rPr>
              <w:t xml:space="preserve"> immunizations </w:t>
            </w:r>
            <w:r w:rsidRPr="009B0D49">
              <w:rPr>
                <w:rFonts w:cstheme="minorHAnsi"/>
                <w:color w:val="000000"/>
                <w:shd w:val="clear" w:color="auto" w:fill="FFFFFF"/>
              </w:rPr>
              <w:lastRenderedPageBreak/>
              <w:t>before travel. If 3 doses of rabies vaccine cannot be completed before travel, the traveler should not start the series, as few data exist to guide PEP after a partial immunization series.</w:t>
            </w:r>
          </w:p>
          <w:p w:rsidR="001E6A1A" w:rsidRPr="009B0D49" w:rsidRDefault="001E6A1A" w:rsidP="00E03DDA">
            <w:pPr>
              <w:shd w:val="clear" w:color="auto" w:fill="FFFFFF"/>
              <w:spacing w:after="150" w:line="375" w:lineRule="atLeast"/>
              <w:rPr>
                <w:rFonts w:cstheme="minorHAnsi"/>
                <w:color w:val="000000"/>
                <w:shd w:val="clear" w:color="auto" w:fill="FFFFFF"/>
              </w:rPr>
            </w:pPr>
            <w:r w:rsidRPr="009B0D49">
              <w:rPr>
                <w:rFonts w:cstheme="minorHAnsi"/>
                <w:color w:val="000000"/>
                <w:shd w:val="clear" w:color="auto" w:fill="FFFFFF"/>
              </w:rPr>
              <w:t xml:space="preserve">Please consult </w:t>
            </w:r>
            <w:hyperlink r:id="rId27" w:history="1">
              <w:r w:rsidRPr="009B0D49">
                <w:rPr>
                  <w:rStyle w:val="Hyperlink"/>
                  <w:rFonts w:cstheme="minorHAnsi"/>
                  <w:shd w:val="clear" w:color="auto" w:fill="FFFFFF"/>
                </w:rPr>
                <w:t>CDC</w:t>
              </w:r>
            </w:hyperlink>
            <w:r w:rsidRPr="009B0D49">
              <w:rPr>
                <w:rFonts w:cstheme="minorHAnsi"/>
                <w:color w:val="000000"/>
                <w:shd w:val="clear" w:color="auto" w:fill="FFFFFF"/>
              </w:rPr>
              <w:t xml:space="preserve"> for up-to-date information regarding vaccine. </w:t>
            </w:r>
          </w:p>
        </w:tc>
      </w:tr>
    </w:tbl>
    <w:p w:rsidR="000C07BD" w:rsidRPr="009B0D49" w:rsidRDefault="000C07BD" w:rsidP="00A3629B">
      <w:pPr>
        <w:rPr>
          <w:rFonts w:cstheme="minorHAnsi"/>
          <w:b/>
        </w:rPr>
      </w:pPr>
    </w:p>
    <w:p w:rsidR="000C07BD" w:rsidRPr="009B0D49" w:rsidRDefault="000C07BD" w:rsidP="00A3629B">
      <w:pPr>
        <w:rPr>
          <w:rFonts w:cstheme="minorHAnsi"/>
          <w:b/>
        </w:rPr>
      </w:pPr>
    </w:p>
    <w:p w:rsidR="000C07BD" w:rsidRPr="009B0D49" w:rsidRDefault="000C07BD" w:rsidP="00A3629B">
      <w:pPr>
        <w:rPr>
          <w:rFonts w:cstheme="minorHAnsi"/>
          <w:b/>
        </w:rPr>
      </w:pPr>
    </w:p>
    <w:p w:rsidR="000C07BD" w:rsidRPr="009B0D49" w:rsidRDefault="000C07BD" w:rsidP="00A3629B">
      <w:pPr>
        <w:rPr>
          <w:rFonts w:cstheme="minorHAnsi"/>
          <w:b/>
        </w:rPr>
      </w:pPr>
    </w:p>
    <w:p w:rsidR="000C07BD" w:rsidRPr="009B0D49" w:rsidRDefault="000C07BD" w:rsidP="00A3629B">
      <w:pPr>
        <w:rPr>
          <w:rFonts w:cstheme="minorHAnsi"/>
          <w:b/>
        </w:rPr>
      </w:pPr>
    </w:p>
    <w:p w:rsidR="000C07BD" w:rsidRPr="009B0D49" w:rsidRDefault="000C07BD" w:rsidP="00A3629B">
      <w:pPr>
        <w:rPr>
          <w:rFonts w:cstheme="minorHAnsi"/>
          <w:b/>
        </w:rPr>
      </w:pPr>
    </w:p>
    <w:p w:rsidR="000C07BD" w:rsidRPr="009B0D49" w:rsidRDefault="000C07BD" w:rsidP="00A3629B">
      <w:pPr>
        <w:rPr>
          <w:rFonts w:cstheme="minorHAnsi"/>
          <w:b/>
        </w:rPr>
      </w:pPr>
    </w:p>
    <w:p w:rsidR="00A3629B" w:rsidRPr="009B0D49" w:rsidRDefault="00A3629B" w:rsidP="00A3629B">
      <w:pPr>
        <w:rPr>
          <w:rFonts w:cstheme="minorHAnsi"/>
          <w:b/>
        </w:rPr>
      </w:pPr>
    </w:p>
    <w:sectPr w:rsidR="00A3629B" w:rsidRPr="009B0D49" w:rsidSect="007558F3">
      <w:pgSz w:w="15840" w:h="12240" w:orient="landscape"/>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3BF"/>
    <w:multiLevelType w:val="hybridMultilevel"/>
    <w:tmpl w:val="6C209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0401A9"/>
    <w:multiLevelType w:val="multilevel"/>
    <w:tmpl w:val="EABCF45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lowerLetter"/>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C5715C8"/>
    <w:multiLevelType w:val="multilevel"/>
    <w:tmpl w:val="BDC01A74"/>
    <w:lvl w:ilvl="0">
      <w:start w:val="1"/>
      <w:numFmt w:val="bullet"/>
      <w:lvlText w:val=""/>
      <w:lvlJc w:val="left"/>
      <w:pPr>
        <w:tabs>
          <w:tab w:val="num" w:pos="375"/>
        </w:tabs>
        <w:ind w:left="375" w:hanging="360"/>
      </w:pPr>
      <w:rPr>
        <w:rFonts w:ascii="Symbol" w:hAnsi="Symbol" w:hint="default"/>
        <w:sz w:val="20"/>
      </w:rPr>
    </w:lvl>
    <w:lvl w:ilvl="1" w:tentative="1">
      <w:start w:val="1"/>
      <w:numFmt w:val="bullet"/>
      <w:lvlText w:val="o"/>
      <w:lvlJc w:val="left"/>
      <w:pPr>
        <w:tabs>
          <w:tab w:val="num" w:pos="1095"/>
        </w:tabs>
        <w:ind w:left="1095" w:hanging="360"/>
      </w:pPr>
      <w:rPr>
        <w:rFonts w:ascii="Courier New" w:hAnsi="Courier New" w:hint="default"/>
        <w:sz w:val="20"/>
      </w:rPr>
    </w:lvl>
    <w:lvl w:ilvl="2" w:tentative="1">
      <w:start w:val="1"/>
      <w:numFmt w:val="bullet"/>
      <w:lvlText w:val=""/>
      <w:lvlJc w:val="left"/>
      <w:pPr>
        <w:tabs>
          <w:tab w:val="num" w:pos="1815"/>
        </w:tabs>
        <w:ind w:left="1815" w:hanging="360"/>
      </w:pPr>
      <w:rPr>
        <w:rFonts w:ascii="Wingdings" w:hAnsi="Wingdings" w:hint="default"/>
        <w:sz w:val="20"/>
      </w:rPr>
    </w:lvl>
    <w:lvl w:ilvl="3" w:tentative="1">
      <w:start w:val="1"/>
      <w:numFmt w:val="bullet"/>
      <w:lvlText w:val=""/>
      <w:lvlJc w:val="left"/>
      <w:pPr>
        <w:tabs>
          <w:tab w:val="num" w:pos="2535"/>
        </w:tabs>
        <w:ind w:left="2535" w:hanging="360"/>
      </w:pPr>
      <w:rPr>
        <w:rFonts w:ascii="Wingdings" w:hAnsi="Wingdings" w:hint="default"/>
        <w:sz w:val="20"/>
      </w:rPr>
    </w:lvl>
    <w:lvl w:ilvl="4" w:tentative="1">
      <w:start w:val="1"/>
      <w:numFmt w:val="bullet"/>
      <w:lvlText w:val=""/>
      <w:lvlJc w:val="left"/>
      <w:pPr>
        <w:tabs>
          <w:tab w:val="num" w:pos="3255"/>
        </w:tabs>
        <w:ind w:left="3255" w:hanging="360"/>
      </w:pPr>
      <w:rPr>
        <w:rFonts w:ascii="Wingdings" w:hAnsi="Wingdings" w:hint="default"/>
        <w:sz w:val="20"/>
      </w:rPr>
    </w:lvl>
    <w:lvl w:ilvl="5" w:tentative="1">
      <w:start w:val="1"/>
      <w:numFmt w:val="bullet"/>
      <w:lvlText w:val=""/>
      <w:lvlJc w:val="left"/>
      <w:pPr>
        <w:tabs>
          <w:tab w:val="num" w:pos="3975"/>
        </w:tabs>
        <w:ind w:left="3975" w:hanging="360"/>
      </w:pPr>
      <w:rPr>
        <w:rFonts w:ascii="Wingdings" w:hAnsi="Wingdings" w:hint="default"/>
        <w:sz w:val="20"/>
      </w:rPr>
    </w:lvl>
    <w:lvl w:ilvl="6" w:tentative="1">
      <w:start w:val="1"/>
      <w:numFmt w:val="bullet"/>
      <w:lvlText w:val=""/>
      <w:lvlJc w:val="left"/>
      <w:pPr>
        <w:tabs>
          <w:tab w:val="num" w:pos="4695"/>
        </w:tabs>
        <w:ind w:left="4695" w:hanging="360"/>
      </w:pPr>
      <w:rPr>
        <w:rFonts w:ascii="Wingdings" w:hAnsi="Wingdings" w:hint="default"/>
        <w:sz w:val="20"/>
      </w:rPr>
    </w:lvl>
    <w:lvl w:ilvl="7" w:tentative="1">
      <w:start w:val="1"/>
      <w:numFmt w:val="bullet"/>
      <w:lvlText w:val=""/>
      <w:lvlJc w:val="left"/>
      <w:pPr>
        <w:tabs>
          <w:tab w:val="num" w:pos="5415"/>
        </w:tabs>
        <w:ind w:left="5415" w:hanging="360"/>
      </w:pPr>
      <w:rPr>
        <w:rFonts w:ascii="Wingdings" w:hAnsi="Wingdings" w:hint="default"/>
        <w:sz w:val="20"/>
      </w:rPr>
    </w:lvl>
    <w:lvl w:ilvl="8" w:tentative="1">
      <w:start w:val="1"/>
      <w:numFmt w:val="bullet"/>
      <w:lvlText w:val=""/>
      <w:lvlJc w:val="left"/>
      <w:pPr>
        <w:tabs>
          <w:tab w:val="num" w:pos="6135"/>
        </w:tabs>
        <w:ind w:left="6135" w:hanging="360"/>
      </w:pPr>
      <w:rPr>
        <w:rFonts w:ascii="Wingdings" w:hAnsi="Wingdings" w:hint="default"/>
        <w:sz w:val="20"/>
      </w:rPr>
    </w:lvl>
  </w:abstractNum>
  <w:abstractNum w:abstractNumId="3" w15:restartNumberingAfterBreak="0">
    <w:nsid w:val="0F4B72E8"/>
    <w:multiLevelType w:val="multilevel"/>
    <w:tmpl w:val="DAE65DE0"/>
    <w:lvl w:ilvl="0">
      <w:start w:val="1"/>
      <w:numFmt w:val="bullet"/>
      <w:lvlText w:val=""/>
      <w:lvlJc w:val="left"/>
      <w:pPr>
        <w:tabs>
          <w:tab w:val="num" w:pos="375"/>
        </w:tabs>
        <w:ind w:left="375" w:hanging="360"/>
      </w:pPr>
      <w:rPr>
        <w:rFonts w:ascii="Symbol" w:hAnsi="Symbol" w:hint="default"/>
        <w:sz w:val="20"/>
      </w:rPr>
    </w:lvl>
    <w:lvl w:ilvl="1" w:tentative="1">
      <w:start w:val="1"/>
      <w:numFmt w:val="bullet"/>
      <w:lvlText w:val="o"/>
      <w:lvlJc w:val="left"/>
      <w:pPr>
        <w:tabs>
          <w:tab w:val="num" w:pos="1095"/>
        </w:tabs>
        <w:ind w:left="1095" w:hanging="360"/>
      </w:pPr>
      <w:rPr>
        <w:rFonts w:ascii="Courier New" w:hAnsi="Courier New" w:hint="default"/>
        <w:sz w:val="20"/>
      </w:rPr>
    </w:lvl>
    <w:lvl w:ilvl="2" w:tentative="1">
      <w:start w:val="1"/>
      <w:numFmt w:val="bullet"/>
      <w:lvlText w:val=""/>
      <w:lvlJc w:val="left"/>
      <w:pPr>
        <w:tabs>
          <w:tab w:val="num" w:pos="1815"/>
        </w:tabs>
        <w:ind w:left="1815" w:hanging="360"/>
      </w:pPr>
      <w:rPr>
        <w:rFonts w:ascii="Wingdings" w:hAnsi="Wingdings" w:hint="default"/>
        <w:sz w:val="20"/>
      </w:rPr>
    </w:lvl>
    <w:lvl w:ilvl="3" w:tentative="1">
      <w:start w:val="1"/>
      <w:numFmt w:val="bullet"/>
      <w:lvlText w:val=""/>
      <w:lvlJc w:val="left"/>
      <w:pPr>
        <w:tabs>
          <w:tab w:val="num" w:pos="2535"/>
        </w:tabs>
        <w:ind w:left="2535" w:hanging="360"/>
      </w:pPr>
      <w:rPr>
        <w:rFonts w:ascii="Wingdings" w:hAnsi="Wingdings" w:hint="default"/>
        <w:sz w:val="20"/>
      </w:rPr>
    </w:lvl>
    <w:lvl w:ilvl="4" w:tentative="1">
      <w:start w:val="1"/>
      <w:numFmt w:val="bullet"/>
      <w:lvlText w:val=""/>
      <w:lvlJc w:val="left"/>
      <w:pPr>
        <w:tabs>
          <w:tab w:val="num" w:pos="3255"/>
        </w:tabs>
        <w:ind w:left="3255" w:hanging="360"/>
      </w:pPr>
      <w:rPr>
        <w:rFonts w:ascii="Wingdings" w:hAnsi="Wingdings" w:hint="default"/>
        <w:sz w:val="20"/>
      </w:rPr>
    </w:lvl>
    <w:lvl w:ilvl="5" w:tentative="1">
      <w:start w:val="1"/>
      <w:numFmt w:val="bullet"/>
      <w:lvlText w:val=""/>
      <w:lvlJc w:val="left"/>
      <w:pPr>
        <w:tabs>
          <w:tab w:val="num" w:pos="3975"/>
        </w:tabs>
        <w:ind w:left="3975" w:hanging="360"/>
      </w:pPr>
      <w:rPr>
        <w:rFonts w:ascii="Wingdings" w:hAnsi="Wingdings" w:hint="default"/>
        <w:sz w:val="20"/>
      </w:rPr>
    </w:lvl>
    <w:lvl w:ilvl="6" w:tentative="1">
      <w:start w:val="1"/>
      <w:numFmt w:val="bullet"/>
      <w:lvlText w:val=""/>
      <w:lvlJc w:val="left"/>
      <w:pPr>
        <w:tabs>
          <w:tab w:val="num" w:pos="4695"/>
        </w:tabs>
        <w:ind w:left="4695" w:hanging="360"/>
      </w:pPr>
      <w:rPr>
        <w:rFonts w:ascii="Wingdings" w:hAnsi="Wingdings" w:hint="default"/>
        <w:sz w:val="20"/>
      </w:rPr>
    </w:lvl>
    <w:lvl w:ilvl="7" w:tentative="1">
      <w:start w:val="1"/>
      <w:numFmt w:val="bullet"/>
      <w:lvlText w:val=""/>
      <w:lvlJc w:val="left"/>
      <w:pPr>
        <w:tabs>
          <w:tab w:val="num" w:pos="5415"/>
        </w:tabs>
        <w:ind w:left="5415" w:hanging="360"/>
      </w:pPr>
      <w:rPr>
        <w:rFonts w:ascii="Wingdings" w:hAnsi="Wingdings" w:hint="default"/>
        <w:sz w:val="20"/>
      </w:rPr>
    </w:lvl>
    <w:lvl w:ilvl="8" w:tentative="1">
      <w:start w:val="1"/>
      <w:numFmt w:val="bullet"/>
      <w:lvlText w:val=""/>
      <w:lvlJc w:val="left"/>
      <w:pPr>
        <w:tabs>
          <w:tab w:val="num" w:pos="6135"/>
        </w:tabs>
        <w:ind w:left="6135" w:hanging="360"/>
      </w:pPr>
      <w:rPr>
        <w:rFonts w:ascii="Wingdings" w:hAnsi="Wingdings" w:hint="default"/>
        <w:sz w:val="20"/>
      </w:rPr>
    </w:lvl>
  </w:abstractNum>
  <w:abstractNum w:abstractNumId="4" w15:restartNumberingAfterBreak="0">
    <w:nsid w:val="133F1A91"/>
    <w:multiLevelType w:val="multilevel"/>
    <w:tmpl w:val="BEB24E9C"/>
    <w:lvl w:ilvl="0">
      <w:start w:val="1"/>
      <w:numFmt w:val="bullet"/>
      <w:lvlText w:val=""/>
      <w:lvlJc w:val="left"/>
      <w:pPr>
        <w:tabs>
          <w:tab w:val="num" w:pos="375"/>
        </w:tabs>
        <w:ind w:left="375" w:hanging="360"/>
      </w:pPr>
      <w:rPr>
        <w:rFonts w:ascii="Symbol" w:hAnsi="Symbol" w:hint="default"/>
        <w:sz w:val="20"/>
      </w:rPr>
    </w:lvl>
    <w:lvl w:ilvl="1" w:tentative="1">
      <w:start w:val="1"/>
      <w:numFmt w:val="bullet"/>
      <w:lvlText w:val="o"/>
      <w:lvlJc w:val="left"/>
      <w:pPr>
        <w:tabs>
          <w:tab w:val="num" w:pos="1095"/>
        </w:tabs>
        <w:ind w:left="1095" w:hanging="360"/>
      </w:pPr>
      <w:rPr>
        <w:rFonts w:ascii="Courier New" w:hAnsi="Courier New" w:hint="default"/>
        <w:sz w:val="20"/>
      </w:rPr>
    </w:lvl>
    <w:lvl w:ilvl="2" w:tentative="1">
      <w:start w:val="1"/>
      <w:numFmt w:val="bullet"/>
      <w:lvlText w:val=""/>
      <w:lvlJc w:val="left"/>
      <w:pPr>
        <w:tabs>
          <w:tab w:val="num" w:pos="1815"/>
        </w:tabs>
        <w:ind w:left="1815" w:hanging="360"/>
      </w:pPr>
      <w:rPr>
        <w:rFonts w:ascii="Wingdings" w:hAnsi="Wingdings" w:hint="default"/>
        <w:sz w:val="20"/>
      </w:rPr>
    </w:lvl>
    <w:lvl w:ilvl="3" w:tentative="1">
      <w:start w:val="1"/>
      <w:numFmt w:val="bullet"/>
      <w:lvlText w:val=""/>
      <w:lvlJc w:val="left"/>
      <w:pPr>
        <w:tabs>
          <w:tab w:val="num" w:pos="2535"/>
        </w:tabs>
        <w:ind w:left="2535" w:hanging="360"/>
      </w:pPr>
      <w:rPr>
        <w:rFonts w:ascii="Wingdings" w:hAnsi="Wingdings" w:hint="default"/>
        <w:sz w:val="20"/>
      </w:rPr>
    </w:lvl>
    <w:lvl w:ilvl="4" w:tentative="1">
      <w:start w:val="1"/>
      <w:numFmt w:val="bullet"/>
      <w:lvlText w:val=""/>
      <w:lvlJc w:val="left"/>
      <w:pPr>
        <w:tabs>
          <w:tab w:val="num" w:pos="3255"/>
        </w:tabs>
        <w:ind w:left="3255" w:hanging="360"/>
      </w:pPr>
      <w:rPr>
        <w:rFonts w:ascii="Wingdings" w:hAnsi="Wingdings" w:hint="default"/>
        <w:sz w:val="20"/>
      </w:rPr>
    </w:lvl>
    <w:lvl w:ilvl="5" w:tentative="1">
      <w:start w:val="1"/>
      <w:numFmt w:val="bullet"/>
      <w:lvlText w:val=""/>
      <w:lvlJc w:val="left"/>
      <w:pPr>
        <w:tabs>
          <w:tab w:val="num" w:pos="3975"/>
        </w:tabs>
        <w:ind w:left="3975" w:hanging="360"/>
      </w:pPr>
      <w:rPr>
        <w:rFonts w:ascii="Wingdings" w:hAnsi="Wingdings" w:hint="default"/>
        <w:sz w:val="20"/>
      </w:rPr>
    </w:lvl>
    <w:lvl w:ilvl="6" w:tentative="1">
      <w:start w:val="1"/>
      <w:numFmt w:val="bullet"/>
      <w:lvlText w:val=""/>
      <w:lvlJc w:val="left"/>
      <w:pPr>
        <w:tabs>
          <w:tab w:val="num" w:pos="4695"/>
        </w:tabs>
        <w:ind w:left="4695" w:hanging="360"/>
      </w:pPr>
      <w:rPr>
        <w:rFonts w:ascii="Wingdings" w:hAnsi="Wingdings" w:hint="default"/>
        <w:sz w:val="20"/>
      </w:rPr>
    </w:lvl>
    <w:lvl w:ilvl="7" w:tentative="1">
      <w:start w:val="1"/>
      <w:numFmt w:val="bullet"/>
      <w:lvlText w:val=""/>
      <w:lvlJc w:val="left"/>
      <w:pPr>
        <w:tabs>
          <w:tab w:val="num" w:pos="5415"/>
        </w:tabs>
        <w:ind w:left="5415" w:hanging="360"/>
      </w:pPr>
      <w:rPr>
        <w:rFonts w:ascii="Wingdings" w:hAnsi="Wingdings" w:hint="default"/>
        <w:sz w:val="20"/>
      </w:rPr>
    </w:lvl>
    <w:lvl w:ilvl="8" w:tentative="1">
      <w:start w:val="1"/>
      <w:numFmt w:val="bullet"/>
      <w:lvlText w:val=""/>
      <w:lvlJc w:val="left"/>
      <w:pPr>
        <w:tabs>
          <w:tab w:val="num" w:pos="6135"/>
        </w:tabs>
        <w:ind w:left="6135" w:hanging="360"/>
      </w:pPr>
      <w:rPr>
        <w:rFonts w:ascii="Wingdings" w:hAnsi="Wingdings" w:hint="default"/>
        <w:sz w:val="20"/>
      </w:rPr>
    </w:lvl>
  </w:abstractNum>
  <w:abstractNum w:abstractNumId="5" w15:restartNumberingAfterBreak="0">
    <w:nsid w:val="174205BB"/>
    <w:multiLevelType w:val="multilevel"/>
    <w:tmpl w:val="F54031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E4C7EDB"/>
    <w:multiLevelType w:val="multilevel"/>
    <w:tmpl w:val="C118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A0D76"/>
    <w:multiLevelType w:val="multilevel"/>
    <w:tmpl w:val="2E9EAF8A"/>
    <w:lvl w:ilvl="0">
      <w:start w:val="1"/>
      <w:numFmt w:val="bullet"/>
      <w:lvlText w:val=""/>
      <w:lvlJc w:val="left"/>
      <w:pPr>
        <w:tabs>
          <w:tab w:val="num" w:pos="375"/>
        </w:tabs>
        <w:ind w:left="375" w:hanging="360"/>
      </w:pPr>
      <w:rPr>
        <w:rFonts w:ascii="Symbol" w:hAnsi="Symbol" w:hint="default"/>
        <w:sz w:val="20"/>
      </w:rPr>
    </w:lvl>
    <w:lvl w:ilvl="1" w:tentative="1">
      <w:start w:val="1"/>
      <w:numFmt w:val="bullet"/>
      <w:lvlText w:val="o"/>
      <w:lvlJc w:val="left"/>
      <w:pPr>
        <w:tabs>
          <w:tab w:val="num" w:pos="1095"/>
        </w:tabs>
        <w:ind w:left="1095" w:hanging="360"/>
      </w:pPr>
      <w:rPr>
        <w:rFonts w:ascii="Courier New" w:hAnsi="Courier New" w:hint="default"/>
        <w:sz w:val="20"/>
      </w:rPr>
    </w:lvl>
    <w:lvl w:ilvl="2" w:tentative="1">
      <w:start w:val="1"/>
      <w:numFmt w:val="bullet"/>
      <w:lvlText w:val=""/>
      <w:lvlJc w:val="left"/>
      <w:pPr>
        <w:tabs>
          <w:tab w:val="num" w:pos="1815"/>
        </w:tabs>
        <w:ind w:left="1815" w:hanging="360"/>
      </w:pPr>
      <w:rPr>
        <w:rFonts w:ascii="Wingdings" w:hAnsi="Wingdings" w:hint="default"/>
        <w:sz w:val="20"/>
      </w:rPr>
    </w:lvl>
    <w:lvl w:ilvl="3" w:tentative="1">
      <w:start w:val="1"/>
      <w:numFmt w:val="bullet"/>
      <w:lvlText w:val=""/>
      <w:lvlJc w:val="left"/>
      <w:pPr>
        <w:tabs>
          <w:tab w:val="num" w:pos="2535"/>
        </w:tabs>
        <w:ind w:left="2535" w:hanging="360"/>
      </w:pPr>
      <w:rPr>
        <w:rFonts w:ascii="Wingdings" w:hAnsi="Wingdings" w:hint="default"/>
        <w:sz w:val="20"/>
      </w:rPr>
    </w:lvl>
    <w:lvl w:ilvl="4" w:tentative="1">
      <w:start w:val="1"/>
      <w:numFmt w:val="bullet"/>
      <w:lvlText w:val=""/>
      <w:lvlJc w:val="left"/>
      <w:pPr>
        <w:tabs>
          <w:tab w:val="num" w:pos="3255"/>
        </w:tabs>
        <w:ind w:left="3255" w:hanging="360"/>
      </w:pPr>
      <w:rPr>
        <w:rFonts w:ascii="Wingdings" w:hAnsi="Wingdings" w:hint="default"/>
        <w:sz w:val="20"/>
      </w:rPr>
    </w:lvl>
    <w:lvl w:ilvl="5" w:tentative="1">
      <w:start w:val="1"/>
      <w:numFmt w:val="bullet"/>
      <w:lvlText w:val=""/>
      <w:lvlJc w:val="left"/>
      <w:pPr>
        <w:tabs>
          <w:tab w:val="num" w:pos="3975"/>
        </w:tabs>
        <w:ind w:left="3975" w:hanging="360"/>
      </w:pPr>
      <w:rPr>
        <w:rFonts w:ascii="Wingdings" w:hAnsi="Wingdings" w:hint="default"/>
        <w:sz w:val="20"/>
      </w:rPr>
    </w:lvl>
    <w:lvl w:ilvl="6" w:tentative="1">
      <w:start w:val="1"/>
      <w:numFmt w:val="bullet"/>
      <w:lvlText w:val=""/>
      <w:lvlJc w:val="left"/>
      <w:pPr>
        <w:tabs>
          <w:tab w:val="num" w:pos="4695"/>
        </w:tabs>
        <w:ind w:left="4695" w:hanging="360"/>
      </w:pPr>
      <w:rPr>
        <w:rFonts w:ascii="Wingdings" w:hAnsi="Wingdings" w:hint="default"/>
        <w:sz w:val="20"/>
      </w:rPr>
    </w:lvl>
    <w:lvl w:ilvl="7" w:tentative="1">
      <w:start w:val="1"/>
      <w:numFmt w:val="bullet"/>
      <w:lvlText w:val=""/>
      <w:lvlJc w:val="left"/>
      <w:pPr>
        <w:tabs>
          <w:tab w:val="num" w:pos="5415"/>
        </w:tabs>
        <w:ind w:left="5415" w:hanging="360"/>
      </w:pPr>
      <w:rPr>
        <w:rFonts w:ascii="Wingdings" w:hAnsi="Wingdings" w:hint="default"/>
        <w:sz w:val="20"/>
      </w:rPr>
    </w:lvl>
    <w:lvl w:ilvl="8" w:tentative="1">
      <w:start w:val="1"/>
      <w:numFmt w:val="bullet"/>
      <w:lvlText w:val=""/>
      <w:lvlJc w:val="left"/>
      <w:pPr>
        <w:tabs>
          <w:tab w:val="num" w:pos="6135"/>
        </w:tabs>
        <w:ind w:left="6135" w:hanging="360"/>
      </w:pPr>
      <w:rPr>
        <w:rFonts w:ascii="Wingdings" w:hAnsi="Wingdings" w:hint="default"/>
        <w:sz w:val="20"/>
      </w:rPr>
    </w:lvl>
  </w:abstractNum>
  <w:abstractNum w:abstractNumId="8" w15:restartNumberingAfterBreak="0">
    <w:nsid w:val="29FF4FBE"/>
    <w:multiLevelType w:val="hybridMultilevel"/>
    <w:tmpl w:val="8FBC8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A4494"/>
    <w:multiLevelType w:val="multilevel"/>
    <w:tmpl w:val="3118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E284D"/>
    <w:multiLevelType w:val="multilevel"/>
    <w:tmpl w:val="B2F4E816"/>
    <w:lvl w:ilvl="0">
      <w:start w:val="1"/>
      <w:numFmt w:val="bullet"/>
      <w:lvlText w:val=""/>
      <w:lvlJc w:val="left"/>
      <w:pPr>
        <w:tabs>
          <w:tab w:val="num" w:pos="375"/>
        </w:tabs>
        <w:ind w:left="375" w:hanging="360"/>
      </w:pPr>
      <w:rPr>
        <w:rFonts w:ascii="Symbol" w:hAnsi="Symbol" w:hint="default"/>
        <w:sz w:val="20"/>
      </w:rPr>
    </w:lvl>
    <w:lvl w:ilvl="1" w:tentative="1">
      <w:start w:val="1"/>
      <w:numFmt w:val="bullet"/>
      <w:lvlText w:val="o"/>
      <w:lvlJc w:val="left"/>
      <w:pPr>
        <w:tabs>
          <w:tab w:val="num" w:pos="1095"/>
        </w:tabs>
        <w:ind w:left="1095" w:hanging="360"/>
      </w:pPr>
      <w:rPr>
        <w:rFonts w:ascii="Courier New" w:hAnsi="Courier New" w:hint="default"/>
        <w:sz w:val="20"/>
      </w:rPr>
    </w:lvl>
    <w:lvl w:ilvl="2" w:tentative="1">
      <w:start w:val="1"/>
      <w:numFmt w:val="bullet"/>
      <w:lvlText w:val=""/>
      <w:lvlJc w:val="left"/>
      <w:pPr>
        <w:tabs>
          <w:tab w:val="num" w:pos="1815"/>
        </w:tabs>
        <w:ind w:left="1815" w:hanging="360"/>
      </w:pPr>
      <w:rPr>
        <w:rFonts w:ascii="Wingdings" w:hAnsi="Wingdings" w:hint="default"/>
        <w:sz w:val="20"/>
      </w:rPr>
    </w:lvl>
    <w:lvl w:ilvl="3" w:tentative="1">
      <w:start w:val="1"/>
      <w:numFmt w:val="bullet"/>
      <w:lvlText w:val=""/>
      <w:lvlJc w:val="left"/>
      <w:pPr>
        <w:tabs>
          <w:tab w:val="num" w:pos="2535"/>
        </w:tabs>
        <w:ind w:left="2535" w:hanging="360"/>
      </w:pPr>
      <w:rPr>
        <w:rFonts w:ascii="Wingdings" w:hAnsi="Wingdings" w:hint="default"/>
        <w:sz w:val="20"/>
      </w:rPr>
    </w:lvl>
    <w:lvl w:ilvl="4" w:tentative="1">
      <w:start w:val="1"/>
      <w:numFmt w:val="bullet"/>
      <w:lvlText w:val=""/>
      <w:lvlJc w:val="left"/>
      <w:pPr>
        <w:tabs>
          <w:tab w:val="num" w:pos="3255"/>
        </w:tabs>
        <w:ind w:left="3255" w:hanging="360"/>
      </w:pPr>
      <w:rPr>
        <w:rFonts w:ascii="Wingdings" w:hAnsi="Wingdings" w:hint="default"/>
        <w:sz w:val="20"/>
      </w:rPr>
    </w:lvl>
    <w:lvl w:ilvl="5" w:tentative="1">
      <w:start w:val="1"/>
      <w:numFmt w:val="bullet"/>
      <w:lvlText w:val=""/>
      <w:lvlJc w:val="left"/>
      <w:pPr>
        <w:tabs>
          <w:tab w:val="num" w:pos="3975"/>
        </w:tabs>
        <w:ind w:left="3975" w:hanging="360"/>
      </w:pPr>
      <w:rPr>
        <w:rFonts w:ascii="Wingdings" w:hAnsi="Wingdings" w:hint="default"/>
        <w:sz w:val="20"/>
      </w:rPr>
    </w:lvl>
    <w:lvl w:ilvl="6" w:tentative="1">
      <w:start w:val="1"/>
      <w:numFmt w:val="bullet"/>
      <w:lvlText w:val=""/>
      <w:lvlJc w:val="left"/>
      <w:pPr>
        <w:tabs>
          <w:tab w:val="num" w:pos="4695"/>
        </w:tabs>
        <w:ind w:left="4695" w:hanging="360"/>
      </w:pPr>
      <w:rPr>
        <w:rFonts w:ascii="Wingdings" w:hAnsi="Wingdings" w:hint="default"/>
        <w:sz w:val="20"/>
      </w:rPr>
    </w:lvl>
    <w:lvl w:ilvl="7" w:tentative="1">
      <w:start w:val="1"/>
      <w:numFmt w:val="bullet"/>
      <w:lvlText w:val=""/>
      <w:lvlJc w:val="left"/>
      <w:pPr>
        <w:tabs>
          <w:tab w:val="num" w:pos="5415"/>
        </w:tabs>
        <w:ind w:left="5415" w:hanging="360"/>
      </w:pPr>
      <w:rPr>
        <w:rFonts w:ascii="Wingdings" w:hAnsi="Wingdings" w:hint="default"/>
        <w:sz w:val="20"/>
      </w:rPr>
    </w:lvl>
    <w:lvl w:ilvl="8" w:tentative="1">
      <w:start w:val="1"/>
      <w:numFmt w:val="bullet"/>
      <w:lvlText w:val=""/>
      <w:lvlJc w:val="left"/>
      <w:pPr>
        <w:tabs>
          <w:tab w:val="num" w:pos="6135"/>
        </w:tabs>
        <w:ind w:left="6135" w:hanging="360"/>
      </w:pPr>
      <w:rPr>
        <w:rFonts w:ascii="Wingdings" w:hAnsi="Wingdings" w:hint="default"/>
        <w:sz w:val="20"/>
      </w:rPr>
    </w:lvl>
  </w:abstractNum>
  <w:abstractNum w:abstractNumId="11" w15:restartNumberingAfterBreak="0">
    <w:nsid w:val="33DB1CF7"/>
    <w:multiLevelType w:val="multilevel"/>
    <w:tmpl w:val="EA14821A"/>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12" w15:restartNumberingAfterBreak="0">
    <w:nsid w:val="50CC6B6D"/>
    <w:multiLevelType w:val="multilevel"/>
    <w:tmpl w:val="EE06FDEE"/>
    <w:lvl w:ilvl="0">
      <w:start w:val="1"/>
      <w:numFmt w:val="bullet"/>
      <w:lvlText w:val=""/>
      <w:lvlJc w:val="left"/>
      <w:pPr>
        <w:tabs>
          <w:tab w:val="num" w:pos="375"/>
        </w:tabs>
        <w:ind w:left="375" w:hanging="360"/>
      </w:pPr>
      <w:rPr>
        <w:rFonts w:ascii="Symbol" w:hAnsi="Symbol" w:hint="default"/>
        <w:sz w:val="20"/>
      </w:rPr>
    </w:lvl>
    <w:lvl w:ilvl="1" w:tentative="1">
      <w:start w:val="1"/>
      <w:numFmt w:val="bullet"/>
      <w:lvlText w:val="o"/>
      <w:lvlJc w:val="left"/>
      <w:pPr>
        <w:tabs>
          <w:tab w:val="num" w:pos="1095"/>
        </w:tabs>
        <w:ind w:left="1095" w:hanging="360"/>
      </w:pPr>
      <w:rPr>
        <w:rFonts w:ascii="Courier New" w:hAnsi="Courier New" w:hint="default"/>
        <w:sz w:val="20"/>
      </w:rPr>
    </w:lvl>
    <w:lvl w:ilvl="2" w:tentative="1">
      <w:start w:val="1"/>
      <w:numFmt w:val="bullet"/>
      <w:lvlText w:val=""/>
      <w:lvlJc w:val="left"/>
      <w:pPr>
        <w:tabs>
          <w:tab w:val="num" w:pos="1815"/>
        </w:tabs>
        <w:ind w:left="1815" w:hanging="360"/>
      </w:pPr>
      <w:rPr>
        <w:rFonts w:ascii="Wingdings" w:hAnsi="Wingdings" w:hint="default"/>
        <w:sz w:val="20"/>
      </w:rPr>
    </w:lvl>
    <w:lvl w:ilvl="3" w:tentative="1">
      <w:start w:val="1"/>
      <w:numFmt w:val="bullet"/>
      <w:lvlText w:val=""/>
      <w:lvlJc w:val="left"/>
      <w:pPr>
        <w:tabs>
          <w:tab w:val="num" w:pos="2535"/>
        </w:tabs>
        <w:ind w:left="2535" w:hanging="360"/>
      </w:pPr>
      <w:rPr>
        <w:rFonts w:ascii="Wingdings" w:hAnsi="Wingdings" w:hint="default"/>
        <w:sz w:val="20"/>
      </w:rPr>
    </w:lvl>
    <w:lvl w:ilvl="4" w:tentative="1">
      <w:start w:val="1"/>
      <w:numFmt w:val="bullet"/>
      <w:lvlText w:val=""/>
      <w:lvlJc w:val="left"/>
      <w:pPr>
        <w:tabs>
          <w:tab w:val="num" w:pos="3255"/>
        </w:tabs>
        <w:ind w:left="3255" w:hanging="360"/>
      </w:pPr>
      <w:rPr>
        <w:rFonts w:ascii="Wingdings" w:hAnsi="Wingdings" w:hint="default"/>
        <w:sz w:val="20"/>
      </w:rPr>
    </w:lvl>
    <w:lvl w:ilvl="5" w:tentative="1">
      <w:start w:val="1"/>
      <w:numFmt w:val="bullet"/>
      <w:lvlText w:val=""/>
      <w:lvlJc w:val="left"/>
      <w:pPr>
        <w:tabs>
          <w:tab w:val="num" w:pos="3975"/>
        </w:tabs>
        <w:ind w:left="3975" w:hanging="360"/>
      </w:pPr>
      <w:rPr>
        <w:rFonts w:ascii="Wingdings" w:hAnsi="Wingdings" w:hint="default"/>
        <w:sz w:val="20"/>
      </w:rPr>
    </w:lvl>
    <w:lvl w:ilvl="6" w:tentative="1">
      <w:start w:val="1"/>
      <w:numFmt w:val="bullet"/>
      <w:lvlText w:val=""/>
      <w:lvlJc w:val="left"/>
      <w:pPr>
        <w:tabs>
          <w:tab w:val="num" w:pos="4695"/>
        </w:tabs>
        <w:ind w:left="4695" w:hanging="360"/>
      </w:pPr>
      <w:rPr>
        <w:rFonts w:ascii="Wingdings" w:hAnsi="Wingdings" w:hint="default"/>
        <w:sz w:val="20"/>
      </w:rPr>
    </w:lvl>
    <w:lvl w:ilvl="7" w:tentative="1">
      <w:start w:val="1"/>
      <w:numFmt w:val="bullet"/>
      <w:lvlText w:val=""/>
      <w:lvlJc w:val="left"/>
      <w:pPr>
        <w:tabs>
          <w:tab w:val="num" w:pos="5415"/>
        </w:tabs>
        <w:ind w:left="5415" w:hanging="360"/>
      </w:pPr>
      <w:rPr>
        <w:rFonts w:ascii="Wingdings" w:hAnsi="Wingdings" w:hint="default"/>
        <w:sz w:val="20"/>
      </w:rPr>
    </w:lvl>
    <w:lvl w:ilvl="8" w:tentative="1">
      <w:start w:val="1"/>
      <w:numFmt w:val="bullet"/>
      <w:lvlText w:val=""/>
      <w:lvlJc w:val="left"/>
      <w:pPr>
        <w:tabs>
          <w:tab w:val="num" w:pos="6135"/>
        </w:tabs>
        <w:ind w:left="6135" w:hanging="360"/>
      </w:pPr>
      <w:rPr>
        <w:rFonts w:ascii="Wingdings" w:hAnsi="Wingdings" w:hint="default"/>
        <w:sz w:val="20"/>
      </w:rPr>
    </w:lvl>
  </w:abstractNum>
  <w:abstractNum w:abstractNumId="13" w15:restartNumberingAfterBreak="0">
    <w:nsid w:val="50D258FB"/>
    <w:multiLevelType w:val="multilevel"/>
    <w:tmpl w:val="BC36FD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67519AB"/>
    <w:multiLevelType w:val="multilevel"/>
    <w:tmpl w:val="EABCF45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lowerLetter"/>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84524D3"/>
    <w:multiLevelType w:val="multilevel"/>
    <w:tmpl w:val="EABCF45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lowerLetter"/>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8D52333"/>
    <w:multiLevelType w:val="multilevel"/>
    <w:tmpl w:val="EABCF45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lowerLetter"/>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2BD25E8"/>
    <w:multiLevelType w:val="multilevel"/>
    <w:tmpl w:val="03BED4B6"/>
    <w:lvl w:ilvl="0">
      <w:start w:val="1"/>
      <w:numFmt w:val="decimal"/>
      <w:lvlText w:val="%1."/>
      <w:lvlJc w:val="left"/>
      <w:pPr>
        <w:tabs>
          <w:tab w:val="num" w:pos="360"/>
        </w:tabs>
        <w:ind w:left="360" w:hanging="360"/>
      </w:pPr>
      <w:rPr>
        <w:rFonts w:hint="default"/>
        <w:sz w:val="20"/>
      </w:rPr>
    </w:lvl>
    <w:lvl w:ilvl="1">
      <w:start w:val="1"/>
      <w:numFmt w:val="bullet"/>
      <w:lvlText w:val=""/>
      <w:lvlJc w:val="left"/>
      <w:pPr>
        <w:ind w:left="1080" w:hanging="360"/>
      </w:pPr>
      <w:rPr>
        <w:rFonts w:ascii="Symbol" w:hAnsi="Symbol" w:hint="default"/>
      </w:rPr>
    </w:lvl>
    <w:lvl w:ilvl="2">
      <w:start w:val="1"/>
      <w:numFmt w:val="lowerLetter"/>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59E22A2"/>
    <w:multiLevelType w:val="multilevel"/>
    <w:tmpl w:val="EABCF45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lowerLetter"/>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6EC39EA"/>
    <w:multiLevelType w:val="multilevel"/>
    <w:tmpl w:val="F8E0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E6E97"/>
    <w:multiLevelType w:val="multilevel"/>
    <w:tmpl w:val="EABCF45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lowerLetter"/>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AFA40CF"/>
    <w:multiLevelType w:val="multilevel"/>
    <w:tmpl w:val="9250AC90"/>
    <w:lvl w:ilvl="0">
      <w:start w:val="1"/>
      <w:numFmt w:val="decimal"/>
      <w:lvlText w:val="%1."/>
      <w:lvlJc w:val="left"/>
      <w:pPr>
        <w:tabs>
          <w:tab w:val="num" w:pos="360"/>
        </w:tabs>
        <w:ind w:left="360" w:hanging="360"/>
      </w:pPr>
      <w:rPr>
        <w:rFonts w:hint="default"/>
        <w:sz w:val="20"/>
      </w:rPr>
    </w:lvl>
    <w:lvl w:ilvl="1">
      <w:start w:val="1"/>
      <w:numFmt w:val="lowerLetter"/>
      <w:lvlText w:val="%2&gt;"/>
      <w:lvlJc w:val="left"/>
      <w:pPr>
        <w:ind w:left="1080" w:hanging="360"/>
      </w:pPr>
      <w:rPr>
        <w:rFonts w:hint="default"/>
      </w:rPr>
    </w:lvl>
    <w:lvl w:ilvl="2">
      <w:start w:val="1"/>
      <w:numFmt w:val="lowerLetter"/>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FC76F43"/>
    <w:multiLevelType w:val="multilevel"/>
    <w:tmpl w:val="706A2D46"/>
    <w:lvl w:ilvl="0">
      <w:start w:val="1"/>
      <w:numFmt w:val="bullet"/>
      <w:lvlText w:val=""/>
      <w:lvlJc w:val="left"/>
      <w:pPr>
        <w:tabs>
          <w:tab w:val="num" w:pos="375"/>
        </w:tabs>
        <w:ind w:left="375" w:hanging="360"/>
      </w:pPr>
      <w:rPr>
        <w:rFonts w:ascii="Symbol" w:hAnsi="Symbol" w:hint="default"/>
        <w:sz w:val="20"/>
      </w:rPr>
    </w:lvl>
    <w:lvl w:ilvl="1" w:tentative="1">
      <w:start w:val="1"/>
      <w:numFmt w:val="bullet"/>
      <w:lvlText w:val="o"/>
      <w:lvlJc w:val="left"/>
      <w:pPr>
        <w:tabs>
          <w:tab w:val="num" w:pos="1095"/>
        </w:tabs>
        <w:ind w:left="1095" w:hanging="360"/>
      </w:pPr>
      <w:rPr>
        <w:rFonts w:ascii="Courier New" w:hAnsi="Courier New" w:hint="default"/>
        <w:sz w:val="20"/>
      </w:rPr>
    </w:lvl>
    <w:lvl w:ilvl="2" w:tentative="1">
      <w:start w:val="1"/>
      <w:numFmt w:val="bullet"/>
      <w:lvlText w:val=""/>
      <w:lvlJc w:val="left"/>
      <w:pPr>
        <w:tabs>
          <w:tab w:val="num" w:pos="1815"/>
        </w:tabs>
        <w:ind w:left="1815" w:hanging="360"/>
      </w:pPr>
      <w:rPr>
        <w:rFonts w:ascii="Wingdings" w:hAnsi="Wingdings" w:hint="default"/>
        <w:sz w:val="20"/>
      </w:rPr>
    </w:lvl>
    <w:lvl w:ilvl="3" w:tentative="1">
      <w:start w:val="1"/>
      <w:numFmt w:val="bullet"/>
      <w:lvlText w:val=""/>
      <w:lvlJc w:val="left"/>
      <w:pPr>
        <w:tabs>
          <w:tab w:val="num" w:pos="2535"/>
        </w:tabs>
        <w:ind w:left="2535" w:hanging="360"/>
      </w:pPr>
      <w:rPr>
        <w:rFonts w:ascii="Wingdings" w:hAnsi="Wingdings" w:hint="default"/>
        <w:sz w:val="20"/>
      </w:rPr>
    </w:lvl>
    <w:lvl w:ilvl="4" w:tentative="1">
      <w:start w:val="1"/>
      <w:numFmt w:val="bullet"/>
      <w:lvlText w:val=""/>
      <w:lvlJc w:val="left"/>
      <w:pPr>
        <w:tabs>
          <w:tab w:val="num" w:pos="3255"/>
        </w:tabs>
        <w:ind w:left="3255" w:hanging="360"/>
      </w:pPr>
      <w:rPr>
        <w:rFonts w:ascii="Wingdings" w:hAnsi="Wingdings" w:hint="default"/>
        <w:sz w:val="20"/>
      </w:rPr>
    </w:lvl>
    <w:lvl w:ilvl="5" w:tentative="1">
      <w:start w:val="1"/>
      <w:numFmt w:val="bullet"/>
      <w:lvlText w:val=""/>
      <w:lvlJc w:val="left"/>
      <w:pPr>
        <w:tabs>
          <w:tab w:val="num" w:pos="3975"/>
        </w:tabs>
        <w:ind w:left="3975" w:hanging="360"/>
      </w:pPr>
      <w:rPr>
        <w:rFonts w:ascii="Wingdings" w:hAnsi="Wingdings" w:hint="default"/>
        <w:sz w:val="20"/>
      </w:rPr>
    </w:lvl>
    <w:lvl w:ilvl="6" w:tentative="1">
      <w:start w:val="1"/>
      <w:numFmt w:val="bullet"/>
      <w:lvlText w:val=""/>
      <w:lvlJc w:val="left"/>
      <w:pPr>
        <w:tabs>
          <w:tab w:val="num" w:pos="4695"/>
        </w:tabs>
        <w:ind w:left="4695" w:hanging="360"/>
      </w:pPr>
      <w:rPr>
        <w:rFonts w:ascii="Wingdings" w:hAnsi="Wingdings" w:hint="default"/>
        <w:sz w:val="20"/>
      </w:rPr>
    </w:lvl>
    <w:lvl w:ilvl="7" w:tentative="1">
      <w:start w:val="1"/>
      <w:numFmt w:val="bullet"/>
      <w:lvlText w:val=""/>
      <w:lvlJc w:val="left"/>
      <w:pPr>
        <w:tabs>
          <w:tab w:val="num" w:pos="5415"/>
        </w:tabs>
        <w:ind w:left="5415" w:hanging="360"/>
      </w:pPr>
      <w:rPr>
        <w:rFonts w:ascii="Wingdings" w:hAnsi="Wingdings" w:hint="default"/>
        <w:sz w:val="20"/>
      </w:rPr>
    </w:lvl>
    <w:lvl w:ilvl="8" w:tentative="1">
      <w:start w:val="1"/>
      <w:numFmt w:val="bullet"/>
      <w:lvlText w:val=""/>
      <w:lvlJc w:val="left"/>
      <w:pPr>
        <w:tabs>
          <w:tab w:val="num" w:pos="6135"/>
        </w:tabs>
        <w:ind w:left="6135" w:hanging="360"/>
      </w:pPr>
      <w:rPr>
        <w:rFonts w:ascii="Wingdings" w:hAnsi="Wingdings" w:hint="default"/>
        <w:sz w:val="20"/>
      </w:rPr>
    </w:lvl>
  </w:abstractNum>
  <w:abstractNum w:abstractNumId="23" w15:restartNumberingAfterBreak="0">
    <w:nsid w:val="74ED6E49"/>
    <w:multiLevelType w:val="hybridMultilevel"/>
    <w:tmpl w:val="2F5E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93F09"/>
    <w:multiLevelType w:val="hybridMultilevel"/>
    <w:tmpl w:val="E4B80EBC"/>
    <w:lvl w:ilvl="0" w:tplc="04090001">
      <w:start w:val="1"/>
      <w:numFmt w:val="bullet"/>
      <w:lvlText w:val=""/>
      <w:lvlJc w:val="left"/>
      <w:pPr>
        <w:ind w:left="375" w:hanging="360"/>
      </w:pPr>
      <w:rPr>
        <w:rFonts w:ascii="Symbol" w:hAnsi="Symbo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5" w15:restartNumberingAfterBreak="0">
    <w:nsid w:val="7CCF5C23"/>
    <w:multiLevelType w:val="hybridMultilevel"/>
    <w:tmpl w:val="3D4E257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8"/>
  </w:num>
  <w:num w:numId="2">
    <w:abstractNumId w:val="22"/>
  </w:num>
  <w:num w:numId="3">
    <w:abstractNumId w:val="7"/>
  </w:num>
  <w:num w:numId="4">
    <w:abstractNumId w:val="12"/>
  </w:num>
  <w:num w:numId="5">
    <w:abstractNumId w:val="4"/>
  </w:num>
  <w:num w:numId="6">
    <w:abstractNumId w:val="2"/>
  </w:num>
  <w:num w:numId="7">
    <w:abstractNumId w:val="5"/>
  </w:num>
  <w:num w:numId="8">
    <w:abstractNumId w:val="10"/>
  </w:num>
  <w:num w:numId="9">
    <w:abstractNumId w:val="3"/>
  </w:num>
  <w:num w:numId="10">
    <w:abstractNumId w:val="21"/>
  </w:num>
  <w:num w:numId="11">
    <w:abstractNumId w:val="13"/>
  </w:num>
  <w:num w:numId="12">
    <w:abstractNumId w:val="17"/>
  </w:num>
  <w:num w:numId="13">
    <w:abstractNumId w:val="18"/>
  </w:num>
  <w:num w:numId="14">
    <w:abstractNumId w:val="20"/>
  </w:num>
  <w:num w:numId="15">
    <w:abstractNumId w:val="16"/>
  </w:num>
  <w:num w:numId="16">
    <w:abstractNumId w:val="14"/>
  </w:num>
  <w:num w:numId="17">
    <w:abstractNumId w:val="15"/>
  </w:num>
  <w:num w:numId="18">
    <w:abstractNumId w:val="1"/>
  </w:num>
  <w:num w:numId="19">
    <w:abstractNumId w:val="25"/>
  </w:num>
  <w:num w:numId="20">
    <w:abstractNumId w:val="0"/>
  </w:num>
  <w:num w:numId="21">
    <w:abstractNumId w:val="23"/>
  </w:num>
  <w:num w:numId="22">
    <w:abstractNumId w:val="19"/>
  </w:num>
  <w:num w:numId="23">
    <w:abstractNumId w:val="24"/>
  </w:num>
  <w:num w:numId="24">
    <w:abstractNumId w:val="11"/>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40"/>
    <w:rsid w:val="000C07BD"/>
    <w:rsid w:val="000D2340"/>
    <w:rsid w:val="001175F3"/>
    <w:rsid w:val="0014141E"/>
    <w:rsid w:val="00142F11"/>
    <w:rsid w:val="001B6F54"/>
    <w:rsid w:val="001E6A1A"/>
    <w:rsid w:val="002B78F0"/>
    <w:rsid w:val="0033172F"/>
    <w:rsid w:val="003904D6"/>
    <w:rsid w:val="004D2239"/>
    <w:rsid w:val="00646FAC"/>
    <w:rsid w:val="006D288F"/>
    <w:rsid w:val="007558F3"/>
    <w:rsid w:val="00775FFE"/>
    <w:rsid w:val="007A51A8"/>
    <w:rsid w:val="007C2D6F"/>
    <w:rsid w:val="007C5122"/>
    <w:rsid w:val="007D46C9"/>
    <w:rsid w:val="008515E3"/>
    <w:rsid w:val="00867ADA"/>
    <w:rsid w:val="008E637F"/>
    <w:rsid w:val="009A31DD"/>
    <w:rsid w:val="009B0D49"/>
    <w:rsid w:val="00A3629B"/>
    <w:rsid w:val="00A410DF"/>
    <w:rsid w:val="00AB3C71"/>
    <w:rsid w:val="00AE7928"/>
    <w:rsid w:val="00CF76A5"/>
    <w:rsid w:val="00D5332B"/>
    <w:rsid w:val="00DB572E"/>
    <w:rsid w:val="00E03DDA"/>
    <w:rsid w:val="00E0462D"/>
    <w:rsid w:val="00E70AC0"/>
    <w:rsid w:val="00F1101D"/>
    <w:rsid w:val="00F55284"/>
    <w:rsid w:val="00FC4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1357B-C0FB-4A1A-9D69-A7032059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340"/>
    <w:pPr>
      <w:ind w:left="720"/>
      <w:contextualSpacing/>
    </w:pPr>
  </w:style>
  <w:style w:type="table" w:styleId="TableGrid">
    <w:name w:val="Table Grid"/>
    <w:basedOn w:val="TableNormal"/>
    <w:uiPriority w:val="39"/>
    <w:rsid w:val="002B7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2D6F"/>
    <w:rPr>
      <w:i/>
      <w:iCs/>
    </w:rPr>
  </w:style>
  <w:style w:type="character" w:styleId="Hyperlink">
    <w:name w:val="Hyperlink"/>
    <w:basedOn w:val="DefaultParagraphFont"/>
    <w:uiPriority w:val="99"/>
    <w:unhideWhenUsed/>
    <w:rsid w:val="0033172F"/>
    <w:rPr>
      <w:color w:val="0563C1" w:themeColor="hyperlink"/>
      <w:u w:val="single"/>
    </w:rPr>
  </w:style>
  <w:style w:type="character" w:styleId="FollowedHyperlink">
    <w:name w:val="FollowedHyperlink"/>
    <w:basedOn w:val="DefaultParagraphFont"/>
    <w:uiPriority w:val="99"/>
    <w:semiHidden/>
    <w:unhideWhenUsed/>
    <w:rsid w:val="0033172F"/>
    <w:rPr>
      <w:color w:val="954F72" w:themeColor="followedHyperlink"/>
      <w:u w:val="single"/>
    </w:rPr>
  </w:style>
  <w:style w:type="paragraph" w:styleId="NormalWeb">
    <w:name w:val="Normal (Web)"/>
    <w:basedOn w:val="Normal"/>
    <w:uiPriority w:val="99"/>
    <w:semiHidden/>
    <w:unhideWhenUsed/>
    <w:rsid w:val="00DB57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39703">
      <w:bodyDiv w:val="1"/>
      <w:marLeft w:val="0"/>
      <w:marRight w:val="0"/>
      <w:marTop w:val="0"/>
      <w:marBottom w:val="0"/>
      <w:divBdr>
        <w:top w:val="none" w:sz="0" w:space="0" w:color="auto"/>
        <w:left w:val="none" w:sz="0" w:space="0" w:color="auto"/>
        <w:bottom w:val="none" w:sz="0" w:space="0" w:color="auto"/>
        <w:right w:val="none" w:sz="0" w:space="0" w:color="auto"/>
      </w:divBdr>
    </w:div>
    <w:div w:id="394670362">
      <w:bodyDiv w:val="1"/>
      <w:marLeft w:val="0"/>
      <w:marRight w:val="0"/>
      <w:marTop w:val="0"/>
      <w:marBottom w:val="0"/>
      <w:divBdr>
        <w:top w:val="none" w:sz="0" w:space="0" w:color="auto"/>
        <w:left w:val="none" w:sz="0" w:space="0" w:color="auto"/>
        <w:bottom w:val="none" w:sz="0" w:space="0" w:color="auto"/>
        <w:right w:val="none" w:sz="0" w:space="0" w:color="auto"/>
      </w:divBdr>
    </w:div>
    <w:div w:id="400758901">
      <w:bodyDiv w:val="1"/>
      <w:marLeft w:val="0"/>
      <w:marRight w:val="0"/>
      <w:marTop w:val="0"/>
      <w:marBottom w:val="0"/>
      <w:divBdr>
        <w:top w:val="none" w:sz="0" w:space="0" w:color="auto"/>
        <w:left w:val="none" w:sz="0" w:space="0" w:color="auto"/>
        <w:bottom w:val="none" w:sz="0" w:space="0" w:color="auto"/>
        <w:right w:val="none" w:sz="0" w:space="0" w:color="auto"/>
      </w:divBdr>
    </w:div>
    <w:div w:id="402996201">
      <w:bodyDiv w:val="1"/>
      <w:marLeft w:val="0"/>
      <w:marRight w:val="0"/>
      <w:marTop w:val="0"/>
      <w:marBottom w:val="0"/>
      <w:divBdr>
        <w:top w:val="none" w:sz="0" w:space="0" w:color="auto"/>
        <w:left w:val="none" w:sz="0" w:space="0" w:color="auto"/>
        <w:bottom w:val="none" w:sz="0" w:space="0" w:color="auto"/>
        <w:right w:val="none" w:sz="0" w:space="0" w:color="auto"/>
      </w:divBdr>
    </w:div>
    <w:div w:id="441536611">
      <w:bodyDiv w:val="1"/>
      <w:marLeft w:val="0"/>
      <w:marRight w:val="0"/>
      <w:marTop w:val="0"/>
      <w:marBottom w:val="0"/>
      <w:divBdr>
        <w:top w:val="none" w:sz="0" w:space="0" w:color="auto"/>
        <w:left w:val="none" w:sz="0" w:space="0" w:color="auto"/>
        <w:bottom w:val="none" w:sz="0" w:space="0" w:color="auto"/>
        <w:right w:val="none" w:sz="0" w:space="0" w:color="auto"/>
      </w:divBdr>
    </w:div>
    <w:div w:id="594945859">
      <w:bodyDiv w:val="1"/>
      <w:marLeft w:val="0"/>
      <w:marRight w:val="0"/>
      <w:marTop w:val="0"/>
      <w:marBottom w:val="0"/>
      <w:divBdr>
        <w:top w:val="none" w:sz="0" w:space="0" w:color="auto"/>
        <w:left w:val="none" w:sz="0" w:space="0" w:color="auto"/>
        <w:bottom w:val="none" w:sz="0" w:space="0" w:color="auto"/>
        <w:right w:val="none" w:sz="0" w:space="0" w:color="auto"/>
      </w:divBdr>
    </w:div>
    <w:div w:id="983660245">
      <w:bodyDiv w:val="1"/>
      <w:marLeft w:val="0"/>
      <w:marRight w:val="0"/>
      <w:marTop w:val="0"/>
      <w:marBottom w:val="0"/>
      <w:divBdr>
        <w:top w:val="none" w:sz="0" w:space="0" w:color="auto"/>
        <w:left w:val="none" w:sz="0" w:space="0" w:color="auto"/>
        <w:bottom w:val="none" w:sz="0" w:space="0" w:color="auto"/>
        <w:right w:val="none" w:sz="0" w:space="0" w:color="auto"/>
      </w:divBdr>
    </w:div>
    <w:div w:id="1058358734">
      <w:bodyDiv w:val="1"/>
      <w:marLeft w:val="0"/>
      <w:marRight w:val="0"/>
      <w:marTop w:val="0"/>
      <w:marBottom w:val="0"/>
      <w:divBdr>
        <w:top w:val="none" w:sz="0" w:space="0" w:color="auto"/>
        <w:left w:val="none" w:sz="0" w:space="0" w:color="auto"/>
        <w:bottom w:val="none" w:sz="0" w:space="0" w:color="auto"/>
        <w:right w:val="none" w:sz="0" w:space="0" w:color="auto"/>
      </w:divBdr>
    </w:div>
    <w:div w:id="1112938305">
      <w:bodyDiv w:val="1"/>
      <w:marLeft w:val="0"/>
      <w:marRight w:val="0"/>
      <w:marTop w:val="0"/>
      <w:marBottom w:val="0"/>
      <w:divBdr>
        <w:top w:val="none" w:sz="0" w:space="0" w:color="auto"/>
        <w:left w:val="none" w:sz="0" w:space="0" w:color="auto"/>
        <w:bottom w:val="none" w:sz="0" w:space="0" w:color="auto"/>
        <w:right w:val="none" w:sz="0" w:space="0" w:color="auto"/>
      </w:divBdr>
    </w:div>
    <w:div w:id="1183010429">
      <w:bodyDiv w:val="1"/>
      <w:marLeft w:val="0"/>
      <w:marRight w:val="0"/>
      <w:marTop w:val="0"/>
      <w:marBottom w:val="0"/>
      <w:divBdr>
        <w:top w:val="none" w:sz="0" w:space="0" w:color="auto"/>
        <w:left w:val="none" w:sz="0" w:space="0" w:color="auto"/>
        <w:bottom w:val="none" w:sz="0" w:space="0" w:color="auto"/>
        <w:right w:val="none" w:sz="0" w:space="0" w:color="auto"/>
      </w:divBdr>
    </w:div>
    <w:div w:id="1199703161">
      <w:bodyDiv w:val="1"/>
      <w:marLeft w:val="0"/>
      <w:marRight w:val="0"/>
      <w:marTop w:val="0"/>
      <w:marBottom w:val="0"/>
      <w:divBdr>
        <w:top w:val="none" w:sz="0" w:space="0" w:color="auto"/>
        <w:left w:val="none" w:sz="0" w:space="0" w:color="auto"/>
        <w:bottom w:val="none" w:sz="0" w:space="0" w:color="auto"/>
        <w:right w:val="none" w:sz="0" w:space="0" w:color="auto"/>
      </w:divBdr>
    </w:div>
    <w:div w:id="1289507893">
      <w:bodyDiv w:val="1"/>
      <w:marLeft w:val="0"/>
      <w:marRight w:val="0"/>
      <w:marTop w:val="0"/>
      <w:marBottom w:val="0"/>
      <w:divBdr>
        <w:top w:val="none" w:sz="0" w:space="0" w:color="auto"/>
        <w:left w:val="none" w:sz="0" w:space="0" w:color="auto"/>
        <w:bottom w:val="none" w:sz="0" w:space="0" w:color="auto"/>
        <w:right w:val="none" w:sz="0" w:space="0" w:color="auto"/>
      </w:divBdr>
    </w:div>
    <w:div w:id="1340740996">
      <w:bodyDiv w:val="1"/>
      <w:marLeft w:val="0"/>
      <w:marRight w:val="0"/>
      <w:marTop w:val="0"/>
      <w:marBottom w:val="0"/>
      <w:divBdr>
        <w:top w:val="none" w:sz="0" w:space="0" w:color="auto"/>
        <w:left w:val="none" w:sz="0" w:space="0" w:color="auto"/>
        <w:bottom w:val="none" w:sz="0" w:space="0" w:color="auto"/>
        <w:right w:val="none" w:sz="0" w:space="0" w:color="auto"/>
      </w:divBdr>
    </w:div>
    <w:div w:id="1476752863">
      <w:bodyDiv w:val="1"/>
      <w:marLeft w:val="0"/>
      <w:marRight w:val="0"/>
      <w:marTop w:val="0"/>
      <w:marBottom w:val="0"/>
      <w:divBdr>
        <w:top w:val="none" w:sz="0" w:space="0" w:color="auto"/>
        <w:left w:val="none" w:sz="0" w:space="0" w:color="auto"/>
        <w:bottom w:val="none" w:sz="0" w:space="0" w:color="auto"/>
        <w:right w:val="none" w:sz="0" w:space="0" w:color="auto"/>
      </w:divBdr>
    </w:div>
    <w:div w:id="1630668692">
      <w:bodyDiv w:val="1"/>
      <w:marLeft w:val="0"/>
      <w:marRight w:val="0"/>
      <w:marTop w:val="0"/>
      <w:marBottom w:val="0"/>
      <w:divBdr>
        <w:top w:val="none" w:sz="0" w:space="0" w:color="auto"/>
        <w:left w:val="none" w:sz="0" w:space="0" w:color="auto"/>
        <w:bottom w:val="none" w:sz="0" w:space="0" w:color="auto"/>
        <w:right w:val="none" w:sz="0" w:space="0" w:color="auto"/>
      </w:divBdr>
    </w:div>
    <w:div w:id="1647857439">
      <w:bodyDiv w:val="1"/>
      <w:marLeft w:val="0"/>
      <w:marRight w:val="0"/>
      <w:marTop w:val="0"/>
      <w:marBottom w:val="0"/>
      <w:divBdr>
        <w:top w:val="none" w:sz="0" w:space="0" w:color="auto"/>
        <w:left w:val="none" w:sz="0" w:space="0" w:color="auto"/>
        <w:bottom w:val="none" w:sz="0" w:space="0" w:color="auto"/>
        <w:right w:val="none" w:sz="0" w:space="0" w:color="auto"/>
      </w:divBdr>
    </w:div>
    <w:div w:id="1689984284">
      <w:bodyDiv w:val="1"/>
      <w:marLeft w:val="0"/>
      <w:marRight w:val="0"/>
      <w:marTop w:val="0"/>
      <w:marBottom w:val="0"/>
      <w:divBdr>
        <w:top w:val="none" w:sz="0" w:space="0" w:color="auto"/>
        <w:left w:val="none" w:sz="0" w:space="0" w:color="auto"/>
        <w:bottom w:val="none" w:sz="0" w:space="0" w:color="auto"/>
        <w:right w:val="none" w:sz="0" w:space="0" w:color="auto"/>
      </w:divBdr>
    </w:div>
    <w:div w:id="18940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dc.gov/travel/yellowbook/2018/infectious-diseases-related-to-travel/yellow-fever-malaria-information-by-country" TargetMode="External"/><Relationship Id="rId13" Type="http://schemas.openxmlformats.org/officeDocument/2006/relationships/hyperlink" Target="https://wwwnc.cdc.gov/travel/yellowbook/2018/infectious-diseases-related-to-travel/measles-rubeola" TargetMode="External"/><Relationship Id="rId18" Type="http://schemas.openxmlformats.org/officeDocument/2006/relationships/hyperlink" Target="https://www.cdc.gov/japaneseencephalitis/vaccine/vaccineChildren.html" TargetMode="External"/><Relationship Id="rId26" Type="http://schemas.openxmlformats.org/officeDocument/2006/relationships/hyperlink" Target="https://wwwnc.cdc.gov/travel/" TargetMode="External"/><Relationship Id="rId3" Type="http://schemas.openxmlformats.org/officeDocument/2006/relationships/settings" Target="settings.xml"/><Relationship Id="rId21" Type="http://schemas.openxmlformats.org/officeDocument/2006/relationships/hyperlink" Target="https://wwwnc.cdc.gov/travel" TargetMode="External"/><Relationship Id="rId7" Type="http://schemas.openxmlformats.org/officeDocument/2006/relationships/hyperlink" Target="https://wwwnc.cdc.gov/travel/yellowbook/2018/infectious-diseases-related-to-travel/yellow-fever-malaria-information-by-country" TargetMode="External"/><Relationship Id="rId12" Type="http://schemas.openxmlformats.org/officeDocument/2006/relationships/hyperlink" Target="https://wwwnc.cdc.gov/travel/yellowbook/2018/infectious-diseases-related-to-travel/hepatitis-b" TargetMode="External"/><Relationship Id="rId17" Type="http://schemas.openxmlformats.org/officeDocument/2006/relationships/hyperlink" Target="https://wwwnc.cdc.gov/travel/yellowbook/2018/infectious-diseases-related-to-travel/japanese-encephalitis" TargetMode="External"/><Relationship Id="rId25" Type="http://schemas.openxmlformats.org/officeDocument/2006/relationships/hyperlink" Target="https://wwwnc.cdc.gov/travel/yellowbook/2018/infectious-diseases-related-to-travel/yellow-fever" TargetMode="External"/><Relationship Id="rId2" Type="http://schemas.openxmlformats.org/officeDocument/2006/relationships/styles" Target="styles.xml"/><Relationship Id="rId16" Type="http://schemas.openxmlformats.org/officeDocument/2006/relationships/hyperlink" Target="https://wwwnc.cdc.gov/travel" TargetMode="External"/><Relationship Id="rId20" Type="http://schemas.openxmlformats.org/officeDocument/2006/relationships/hyperlink" Target="https://wwwnc.cdc.gov/travel/yellowbook/2018/infectious-diseases-related-to-travel/meningococcal-diseas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c.cdc.gov/travel/yellowbook/2018/infectious-diseases-related-to-travel/yellow-fever-malaria-information-by-country" TargetMode="External"/><Relationship Id="rId11" Type="http://schemas.openxmlformats.org/officeDocument/2006/relationships/hyperlink" Target="https://www.cdc.gov/mmwr/volumes/66/wr/mm6636a5.htm?s_cid=mm6636a5_e" TargetMode="External"/><Relationship Id="rId24" Type="http://schemas.openxmlformats.org/officeDocument/2006/relationships/hyperlink" Target="https://wwwnc.cdc.gov/travel/yellowbook/2018/infectious-diseases-related-to-travel/yellow-fever-malaria-information-by-country" TargetMode="External"/><Relationship Id="rId5" Type="http://schemas.openxmlformats.org/officeDocument/2006/relationships/hyperlink" Target="https://wwwnc.cdc.gov/travel/" TargetMode="External"/><Relationship Id="rId15" Type="http://schemas.openxmlformats.org/officeDocument/2006/relationships/hyperlink" Target="https://wwwnc.cdc.gov/travel" TargetMode="External"/><Relationship Id="rId23" Type="http://schemas.openxmlformats.org/officeDocument/2006/relationships/hyperlink" Target="https://wwwnc.cdc.gov/travel/page/search-for-stamaril-clinics" TargetMode="External"/><Relationship Id="rId28" Type="http://schemas.openxmlformats.org/officeDocument/2006/relationships/fontTable" Target="fontTable.xml"/><Relationship Id="rId10" Type="http://schemas.openxmlformats.org/officeDocument/2006/relationships/hyperlink" Target="https://www.cdc.gov/vaccines/schedules/hcp/index.html" TargetMode="External"/><Relationship Id="rId19" Type="http://schemas.openxmlformats.org/officeDocument/2006/relationships/hyperlink" Target="https://wwwnc.cdc.gov/travel" TargetMode="External"/><Relationship Id="rId4" Type="http://schemas.openxmlformats.org/officeDocument/2006/relationships/webSettings" Target="webSettings.xml"/><Relationship Id="rId9" Type="http://schemas.openxmlformats.org/officeDocument/2006/relationships/hyperlink" Target="https://wwwnc.cdc.gov/travel/destinations/list/" TargetMode="External"/><Relationship Id="rId14" Type="http://schemas.openxmlformats.org/officeDocument/2006/relationships/hyperlink" Target="https://wwwnc.cdc.gov/travel" TargetMode="External"/><Relationship Id="rId22" Type="http://schemas.openxmlformats.org/officeDocument/2006/relationships/hyperlink" Target="https://wwwnc.cdc.gov/travel/yellowbook/2016/infectious-diseases-related-to-travel/meningococcal-disease" TargetMode="External"/><Relationship Id="rId27" Type="http://schemas.openxmlformats.org/officeDocument/2006/relationships/hyperlink" Target="https://wwwnc.cdc.gov/travel/yellowbook/2018/infectious-diseases-related-to-travel/rab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2999</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Tenet Health</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Ishminder1</dc:creator>
  <cp:keywords/>
  <dc:description/>
  <cp:lastModifiedBy>Daniel Taylor</cp:lastModifiedBy>
  <cp:revision>2</cp:revision>
  <cp:lastPrinted>2018-05-31T19:21:00Z</cp:lastPrinted>
  <dcterms:created xsi:type="dcterms:W3CDTF">2019-06-12T01:48:00Z</dcterms:created>
  <dcterms:modified xsi:type="dcterms:W3CDTF">2019-06-12T01:48:00Z</dcterms:modified>
</cp:coreProperties>
</file>